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190500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182880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ACME UNITED CORPORATION</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35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8"/>
              </w:rPr>
              <w:t>Connecticut</w:t>
            </w:r>
          </w:p>
        </w:tc>
        <w:tc>
          <w:tcPr>
            <w:tcW w:w="3120" w:type="dxa"/>
            <w:vAlign w:val="bottom"/>
          </w:tcPr>
          <w:p>
            <w:pPr>
              <w:jc w:val="right"/>
              <w:ind w:right="1319"/>
              <w:spacing w:after="0"/>
              <w:rPr>
                <w:sz w:val="20"/>
                <w:szCs w:val="20"/>
                <w:color w:val="auto"/>
              </w:rPr>
            </w:pPr>
            <w:r>
              <w:rPr>
                <w:rFonts w:ascii="Times New Roman" w:cs="Times New Roman" w:eastAsia="Times New Roman" w:hAnsi="Times New Roman"/>
                <w:sz w:val="18"/>
                <w:szCs w:val="18"/>
                <w:b w:val="1"/>
                <w:bCs w:val="1"/>
                <w:color w:val="auto"/>
              </w:rPr>
              <w:t>001-07698</w:t>
            </w:r>
          </w:p>
        </w:tc>
        <w:tc>
          <w:tcPr>
            <w:tcW w:w="2120" w:type="dxa"/>
            <w:vAlign w:val="bottom"/>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06-0236700</w:t>
            </w:r>
          </w:p>
        </w:tc>
      </w:tr>
      <w:tr>
        <w:trPr>
          <w:trHeight w:val="149"/>
        </w:trPr>
        <w:tc>
          <w:tcPr>
            <w:tcW w:w="3500" w:type="dxa"/>
            <w:vAlign w:val="bottom"/>
          </w:tcPr>
          <w:p>
            <w:pPr>
              <w:jc w:val="center"/>
              <w:ind w:right="501"/>
              <w:spacing w:after="0" w:line="14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3120" w:type="dxa"/>
            <w:vAlign w:val="bottom"/>
          </w:tcPr>
          <w:p>
            <w:pPr>
              <w:jc w:val="center"/>
              <w:ind w:right="379"/>
              <w:spacing w:after="0" w:line="149" w:lineRule="exact"/>
              <w:rPr>
                <w:sz w:val="20"/>
                <w:szCs w:val="20"/>
                <w:color w:val="auto"/>
              </w:rPr>
            </w:pPr>
            <w:r>
              <w:rPr>
                <w:rFonts w:ascii="Times New Roman" w:cs="Times New Roman" w:eastAsia="Times New Roman" w:hAnsi="Times New Roman"/>
                <w:sz w:val="14"/>
                <w:szCs w:val="14"/>
                <w:color w:val="auto"/>
              </w:rPr>
              <w:t>(Commission file number)</w:t>
            </w:r>
          </w:p>
        </w:tc>
        <w:tc>
          <w:tcPr>
            <w:tcW w:w="2120" w:type="dxa"/>
            <w:vAlign w:val="bottom"/>
          </w:tcPr>
          <w:p>
            <w:pPr>
              <w:jc w:val="center"/>
              <w:ind w:left="961"/>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49"/>
        </w:trPr>
        <w:tc>
          <w:tcPr>
            <w:tcW w:w="3500" w:type="dxa"/>
            <w:vAlign w:val="bottom"/>
          </w:tcPr>
          <w:p>
            <w:pPr>
              <w:jc w:val="center"/>
              <w:ind w:right="501"/>
              <w:spacing w:after="0" w:line="149" w:lineRule="exact"/>
              <w:rPr>
                <w:sz w:val="20"/>
                <w:szCs w:val="20"/>
                <w:color w:val="auto"/>
              </w:rPr>
            </w:pPr>
            <w:r>
              <w:rPr>
                <w:rFonts w:ascii="Times New Roman" w:cs="Times New Roman" w:eastAsia="Times New Roman" w:hAnsi="Times New Roman"/>
                <w:sz w:val="14"/>
                <w:szCs w:val="14"/>
                <w:color w:val="auto"/>
              </w:rPr>
              <w:t>of incorporation or organization)</w:t>
            </w:r>
          </w:p>
        </w:tc>
        <w:tc>
          <w:tcPr>
            <w:tcW w:w="3120" w:type="dxa"/>
            <w:vAlign w:val="bottom"/>
          </w:tcPr>
          <w:p>
            <w:pPr>
              <w:spacing w:after="0"/>
              <w:rPr>
                <w:sz w:val="12"/>
                <w:szCs w:val="12"/>
                <w:color w:val="auto"/>
              </w:rPr>
            </w:pPr>
          </w:p>
        </w:tc>
        <w:tc>
          <w:tcPr>
            <w:tcW w:w="2120" w:type="dxa"/>
            <w:vAlign w:val="bottom"/>
          </w:tcPr>
          <w:p>
            <w:pPr>
              <w:jc w:val="center"/>
              <w:ind w:left="961"/>
              <w:spacing w:after="0" w:line="149" w:lineRule="exact"/>
              <w:rPr>
                <w:sz w:val="20"/>
                <w:szCs w:val="20"/>
                <w:color w:val="auto"/>
              </w:rPr>
            </w:pPr>
            <w:r>
              <w:rPr>
                <w:rFonts w:ascii="Times New Roman" w:cs="Times New Roman" w:eastAsia="Times New Roman" w:hAnsi="Times New Roman"/>
                <w:sz w:val="14"/>
                <w:szCs w:val="14"/>
                <w:color w:val="auto"/>
              </w:rPr>
              <w:t>Identification No.)</w:t>
            </w:r>
          </w:p>
        </w:tc>
      </w:tr>
      <w:tr>
        <w:trPr>
          <w:trHeight w:val="216"/>
        </w:trPr>
        <w:tc>
          <w:tcPr>
            <w:tcW w:w="35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9"/>
              </w:rPr>
              <w:t>1 Waterview Dr, Shelton, Connecticut</w:t>
            </w:r>
          </w:p>
        </w:tc>
        <w:tc>
          <w:tcPr>
            <w:tcW w:w="3120" w:type="dxa"/>
            <w:vAlign w:val="bottom"/>
          </w:tcPr>
          <w:p>
            <w:pPr>
              <w:spacing w:after="0"/>
              <w:rPr>
                <w:sz w:val="18"/>
                <w:szCs w:val="18"/>
                <w:color w:val="auto"/>
              </w:rPr>
            </w:pPr>
          </w:p>
        </w:tc>
        <w:tc>
          <w:tcPr>
            <w:tcW w:w="212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06484</w:t>
            </w:r>
          </w:p>
        </w:tc>
      </w:tr>
      <w:tr>
        <w:trPr>
          <w:trHeight w:val="188"/>
        </w:trPr>
        <w:tc>
          <w:tcPr>
            <w:tcW w:w="3500" w:type="dxa"/>
            <w:vAlign w:val="bottom"/>
          </w:tcPr>
          <w:p>
            <w:pPr>
              <w:jc w:val="center"/>
              <w:ind w:right="50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120" w:type="dxa"/>
            <w:vAlign w:val="bottom"/>
          </w:tcPr>
          <w:p>
            <w:pPr>
              <w:spacing w:after="0"/>
              <w:rPr>
                <w:sz w:val="16"/>
                <w:szCs w:val="16"/>
                <w:color w:val="auto"/>
              </w:rPr>
            </w:pPr>
          </w:p>
        </w:tc>
        <w:tc>
          <w:tcPr>
            <w:tcW w:w="2120" w:type="dxa"/>
            <w:vAlign w:val="bottom"/>
          </w:tcPr>
          <w:p>
            <w:pPr>
              <w:jc w:val="center"/>
              <w:ind w:left="961"/>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254-6060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580" w:hanging="451"/>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580" w:hanging="451"/>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rFonts w:ascii="MS PGothic" w:cs="MS PGothic" w:eastAsia="MS PGothic" w:hAnsi="MS PGothic"/>
          <w:sz w:val="18"/>
          <w:szCs w:val="18"/>
          <w:color w:val="auto"/>
        </w:rPr>
      </w:pPr>
    </w:p>
    <w:p>
      <w:pPr>
        <w:ind w:left="580" w:hanging="451"/>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580" w:hanging="451"/>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$2.50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ACU</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 American</w:t>
            </w:r>
          </w:p>
        </w:tc>
        <w:tc>
          <w:tcPr>
            <w:tcW w:w="0" w:type="dxa"/>
            <w:vAlign w:val="bottom"/>
          </w:tcPr>
          <w:p>
            <w:pPr>
              <w:spacing w:after="0"/>
              <w:rPr>
                <w:sz w:val="1"/>
                <w:szCs w:val="1"/>
                <w:color w:val="auto"/>
              </w:rPr>
            </w:pPr>
          </w:p>
        </w:tc>
      </w:tr>
    </w:tbl>
    <w:p>
      <w:pPr>
        <w:spacing w:after="0" w:line="20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40"/>
        <w:spacing w:after="0" w:line="25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505460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Set forth below are the results of the matters submitted for a vote of the shareholders at the Company's 2026 Annual Meeting of Shareholders held on April 27, 2026.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Proposal 1 - Election of Directors</w:t>
            </w: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1"/>
        </w:trPr>
        <w:tc>
          <w:tcPr>
            <w:tcW w:w="100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Directors</w:t>
            </w:r>
          </w:p>
        </w:tc>
        <w:tc>
          <w:tcPr>
            <w:tcW w:w="1540" w:type="dxa"/>
            <w:vAlign w:val="bottom"/>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10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540" w:type="dxa"/>
            <w:vAlign w:val="bottom"/>
          </w:tcPr>
          <w:p>
            <w:pPr>
              <w:spacing w:after="0"/>
              <w:rPr>
                <w:sz w:val="24"/>
                <w:szCs w:val="24"/>
                <w:color w:val="auto"/>
              </w:rPr>
            </w:pPr>
          </w:p>
        </w:tc>
      </w:tr>
      <w:tr>
        <w:trPr>
          <w:trHeight w:val="232"/>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Walter C. Johnsen</w:t>
            </w:r>
          </w:p>
        </w:tc>
        <w:tc>
          <w:tcPr>
            <w:tcW w:w="18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2,875,292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8,321</w:t>
            </w:r>
          </w:p>
        </w:tc>
      </w:tr>
      <w:tr>
        <w:trPr>
          <w:trHeight w:val="216"/>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Richmond Y. Holden</w:t>
            </w:r>
          </w:p>
        </w:tc>
        <w:tc>
          <w:tcPr>
            <w:tcW w:w="18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2,453,243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430,370</w:t>
            </w:r>
          </w:p>
        </w:tc>
      </w:tr>
      <w:tr>
        <w:trPr>
          <w:trHeight w:val="216"/>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Brian S. Olschan</w:t>
            </w:r>
          </w:p>
        </w:tc>
        <w:tc>
          <w:tcPr>
            <w:tcW w:w="18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2,875,502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8,111</w:t>
            </w:r>
          </w:p>
        </w:tc>
      </w:tr>
      <w:tr>
        <w:trPr>
          <w:trHeight w:val="216"/>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Susan H. Murphy</w:t>
            </w:r>
          </w:p>
        </w:tc>
        <w:tc>
          <w:tcPr>
            <w:tcW w:w="18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2,830,061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53,552</w:t>
            </w:r>
          </w:p>
        </w:tc>
      </w:tr>
      <w:tr>
        <w:trPr>
          <w:trHeight w:val="216"/>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Rex L. Davidson</w:t>
            </w:r>
          </w:p>
        </w:tc>
        <w:tc>
          <w:tcPr>
            <w:tcW w:w="18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2,827,861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55,752</w:t>
            </w:r>
          </w:p>
        </w:tc>
      </w:tr>
      <w:tr>
        <w:trPr>
          <w:trHeight w:val="216"/>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Brian K. Barker</w:t>
            </w:r>
          </w:p>
        </w:tc>
        <w:tc>
          <w:tcPr>
            <w:tcW w:w="18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2,874,498</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9,115</w:t>
            </w:r>
          </w:p>
        </w:tc>
      </w:tr>
      <w:tr>
        <w:trPr>
          <w:trHeight w:val="234"/>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Paul J. Conway</w:t>
            </w:r>
          </w:p>
        </w:tc>
        <w:tc>
          <w:tcPr>
            <w:tcW w:w="18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2,869,174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14,439</w:t>
            </w: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 Amendment to the 2022 Employee Stock Option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approved the amendment to the 2022 Employee Stock Option Plan</w:t>
      </w:r>
    </w:p>
    <w:p>
      <w:pPr>
        <w:spacing w:after="0" w:line="212"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8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 Votes</w:t>
            </w:r>
          </w:p>
        </w:tc>
      </w:tr>
      <w:tr>
        <w:trPr>
          <w:trHeight w:val="20"/>
        </w:trPr>
        <w:tc>
          <w:tcPr>
            <w:tcW w:w="7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r>
        <w:trPr>
          <w:trHeight w:val="250"/>
        </w:trPr>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1,951,474</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925,794</w:t>
            </w:r>
          </w:p>
        </w:tc>
        <w:tc>
          <w:tcPr>
            <w:tcW w:w="36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6,345</w:t>
            </w:r>
          </w:p>
        </w:tc>
        <w:tc>
          <w:tcPr>
            <w:tcW w:w="700" w:type="dxa"/>
            <w:vAlign w:val="bottom"/>
          </w:tcPr>
          <w:p>
            <w:pPr>
              <w:spacing w:after="0"/>
              <w:rPr>
                <w:sz w:val="21"/>
                <w:szCs w:val="21"/>
                <w:color w:val="auto"/>
              </w:rPr>
            </w:pP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537,097</w:t>
            </w: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3 – Adoption of a Non-Binding Resolution to Approve the Compensation of our Named Executive Officers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approved the Advisory vote to Approve Executive Compensation.</w:t>
      </w:r>
    </w:p>
    <w:p>
      <w:pPr>
        <w:spacing w:after="0" w:line="212"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8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
        </w:trPr>
        <w:tc>
          <w:tcPr>
            <w:tcW w:w="7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250"/>
        </w:trPr>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2,775,611</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102,051</w:t>
            </w:r>
          </w:p>
        </w:tc>
        <w:tc>
          <w:tcPr>
            <w:tcW w:w="36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5,951</w:t>
            </w:r>
          </w:p>
        </w:tc>
        <w:tc>
          <w:tcPr>
            <w:tcW w:w="720" w:type="dxa"/>
            <w:vAlign w:val="bottom"/>
          </w:tcPr>
          <w:p>
            <w:pPr>
              <w:spacing w:after="0"/>
              <w:rPr>
                <w:sz w:val="21"/>
                <w:szCs w:val="21"/>
                <w:color w:val="auto"/>
              </w:rPr>
            </w:pP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537,097</w:t>
            </w:r>
          </w:p>
        </w:tc>
      </w:tr>
    </w:tbl>
    <w:p>
      <w:pPr>
        <w:spacing w:after="0" w:line="35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Proposal 4- Ratification of the Appointment of CBIZ CPA's, P.C. as our independent registered public accounting firm for the fiscal year ending December 31, 2026.</w:t>
      </w:r>
    </w:p>
    <w:p>
      <w:pPr>
        <w:spacing w:after="0" w:line="1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shareholders approved the proposal to ratify the appointment of CBIZ CPA's P.C. as our independent registered public accounting firm for the fiscal year ending December 31, 2026.</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7800" w:type="dxa"/>
            <w:vAlign w:val="bottom"/>
            <w:gridSpan w:val="3"/>
          </w:tcPr>
          <w:p>
            <w:pPr>
              <w:jc w:val="right"/>
              <w:ind w:right="664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0"/>
        </w:trPr>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3,413,803</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4,534</w:t>
            </w:r>
          </w:p>
        </w:tc>
        <w:tc>
          <w:tcPr>
            <w:tcW w:w="360" w:type="dxa"/>
            <w:vAlign w:val="bottom"/>
          </w:tcPr>
          <w:p>
            <w:pPr>
              <w:spacing w:after="0"/>
              <w:rPr>
                <w:sz w:val="21"/>
                <w:szCs w:val="21"/>
                <w:color w:val="auto"/>
              </w:rPr>
            </w:pPr>
          </w:p>
        </w:tc>
        <w:tc>
          <w:tcPr>
            <w:tcW w:w="7800" w:type="dxa"/>
            <w:vAlign w:val="bottom"/>
            <w:gridSpan w:val="3"/>
          </w:tcPr>
          <w:p>
            <w:pPr>
              <w:jc w:val="right"/>
              <w:ind w:right="6380"/>
              <w:spacing w:after="0"/>
              <w:rPr>
                <w:sz w:val="20"/>
                <w:szCs w:val="20"/>
                <w:color w:val="auto"/>
              </w:rPr>
            </w:pPr>
            <w:r>
              <w:rPr>
                <w:rFonts w:ascii="Times New Roman" w:cs="Times New Roman" w:eastAsia="Times New Roman" w:hAnsi="Times New Roman"/>
                <w:sz w:val="18"/>
                <w:szCs w:val="18"/>
                <w:color w:val="auto"/>
              </w:rPr>
              <w:t>2,367</w:t>
            </w:r>
          </w:p>
        </w:tc>
      </w:tr>
      <w:tr>
        <w:trPr>
          <w:trHeight w:val="1033"/>
        </w:trPr>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ACME UNITED CORPORATION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9380" w:type="dxa"/>
            <w:vAlign w:val="bottom"/>
            <w:gridSpan w:val="2"/>
          </w:tcPr>
          <w:p>
            <w:pPr>
              <w:jc w:val="center"/>
              <w:ind w:right="710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2"/>
                <w:szCs w:val="12"/>
                <w:color w:val="auto"/>
              </w:rPr>
              <w:t>alter</w:t>
            </w:r>
            <w:r>
              <w:rPr>
                <w:rFonts w:ascii="Times New Roman" w:cs="Times New Roman" w:eastAsia="Times New Roman" w:hAnsi="Times New Roman"/>
                <w:sz w:val="18"/>
                <w:szCs w:val="18"/>
                <w:color w:val="auto"/>
              </w:rPr>
              <w:t xml:space="preserve"> C. J</w:t>
            </w:r>
            <w:r>
              <w:rPr>
                <w:rFonts w:ascii="Times New Roman" w:cs="Times New Roman" w:eastAsia="Times New Roman" w:hAnsi="Times New Roman"/>
                <w:sz w:val="12"/>
                <w:szCs w:val="12"/>
                <w:color w:val="auto"/>
              </w:rPr>
              <w:t>ohnsen</w:t>
            </w:r>
          </w:p>
        </w:tc>
      </w:tr>
      <w:tr>
        <w:trPr>
          <w:trHeight w:val="191"/>
        </w:trPr>
        <w:tc>
          <w:tcPr>
            <w:tcW w:w="36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3780" w:type="dxa"/>
            <w:vAlign w:val="bottom"/>
            <w:tcBorders>
              <w:top w:val="single" w:sz="8" w:color="auto"/>
            </w:tcBorders>
          </w:tcPr>
          <w:p>
            <w:pPr>
              <w:jc w:val="center"/>
              <w:ind w:right="1410"/>
              <w:spacing w:after="0" w:line="191" w:lineRule="exact"/>
              <w:rPr>
                <w:sz w:val="20"/>
                <w:szCs w:val="20"/>
                <w:color w:val="auto"/>
              </w:rPr>
            </w:pPr>
            <w:r>
              <w:rPr>
                <w:rFonts w:ascii="Times New Roman" w:cs="Times New Roman" w:eastAsia="Times New Roman" w:hAnsi="Times New Roman"/>
                <w:sz w:val="18"/>
                <w:szCs w:val="18"/>
                <w:color w:val="auto"/>
                <w:w w:val="99"/>
              </w:rPr>
              <w:t>Walter C. Johnsen</w:t>
            </w:r>
          </w:p>
        </w:tc>
        <w:tc>
          <w:tcPr>
            <w:tcW w:w="5600" w:type="dxa"/>
            <w:vAlign w:val="bottom"/>
          </w:tcPr>
          <w:p>
            <w:pPr>
              <w:spacing w:after="0"/>
              <w:rPr>
                <w:sz w:val="16"/>
                <w:szCs w:val="16"/>
                <w:color w:val="auto"/>
              </w:rPr>
            </w:pPr>
          </w:p>
        </w:tc>
      </w:tr>
      <w:tr>
        <w:trPr>
          <w:trHeight w:val="216"/>
        </w:trPr>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380" w:type="dxa"/>
            <w:vAlign w:val="bottom"/>
            <w:gridSpan w:val="2"/>
          </w:tcPr>
          <w:p>
            <w:pPr>
              <w:jc w:val="center"/>
              <w:ind w:right="7100"/>
              <w:spacing w:after="0"/>
              <w:rPr>
                <w:sz w:val="20"/>
                <w:szCs w:val="20"/>
                <w:color w:val="auto"/>
              </w:rPr>
            </w:pPr>
            <w:r>
              <w:rPr>
                <w:rFonts w:ascii="Times New Roman" w:cs="Times New Roman" w:eastAsia="Times New Roman" w:hAnsi="Times New Roman"/>
                <w:sz w:val="18"/>
                <w:szCs w:val="18"/>
                <w:color w:val="auto"/>
                <w:w w:val="98"/>
              </w:rPr>
              <w:t>Chairman and</w:t>
            </w:r>
          </w:p>
        </w:tc>
      </w:tr>
      <w:tr>
        <w:trPr>
          <w:trHeight w:val="234"/>
        </w:trPr>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380" w:type="dxa"/>
            <w:vAlign w:val="bottom"/>
            <w:gridSpan w:val="2"/>
          </w:tcPr>
          <w:p>
            <w:pPr>
              <w:jc w:val="center"/>
              <w:ind w:right="7100"/>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513"/>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April 28, 2026</w:t>
            </w:r>
          </w:p>
        </w:tc>
        <w:tc>
          <w:tcPr>
            <w:tcW w:w="378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864"/>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9380" w:type="dxa"/>
            <w:vAlign w:val="bottom"/>
            <w:gridSpan w:val="2"/>
          </w:tcPr>
          <w:p>
            <w:pPr>
              <w:jc w:val="center"/>
              <w:ind w:right="710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2"/>
                <w:szCs w:val="12"/>
                <w:color w:val="auto"/>
              </w:rPr>
              <w:t>aul</w:t>
            </w:r>
            <w:r>
              <w:rPr>
                <w:rFonts w:ascii="Times New Roman" w:cs="Times New Roman" w:eastAsia="Times New Roman" w:hAnsi="Times New Roman"/>
                <w:sz w:val="18"/>
                <w:szCs w:val="18"/>
                <w:color w:val="auto"/>
              </w:rPr>
              <w:t xml:space="preserve"> G. D</w:t>
            </w:r>
            <w:r>
              <w:rPr>
                <w:rFonts w:ascii="Times New Roman" w:cs="Times New Roman" w:eastAsia="Times New Roman" w:hAnsi="Times New Roman"/>
                <w:sz w:val="12"/>
                <w:szCs w:val="12"/>
                <w:color w:val="auto"/>
              </w:rPr>
              <w:t>riscoll</w:t>
            </w:r>
          </w:p>
        </w:tc>
      </w:tr>
      <w:tr>
        <w:trPr>
          <w:trHeight w:val="191"/>
        </w:trPr>
        <w:tc>
          <w:tcPr>
            <w:tcW w:w="36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3780" w:type="dxa"/>
            <w:vAlign w:val="bottom"/>
            <w:tcBorders>
              <w:top w:val="single" w:sz="8" w:color="auto"/>
            </w:tcBorders>
          </w:tcPr>
          <w:p>
            <w:pPr>
              <w:jc w:val="center"/>
              <w:ind w:right="1410"/>
              <w:spacing w:after="0" w:line="191" w:lineRule="exact"/>
              <w:rPr>
                <w:sz w:val="20"/>
                <w:szCs w:val="20"/>
                <w:color w:val="auto"/>
              </w:rPr>
            </w:pPr>
            <w:r>
              <w:rPr>
                <w:rFonts w:ascii="Times New Roman" w:cs="Times New Roman" w:eastAsia="Times New Roman" w:hAnsi="Times New Roman"/>
                <w:sz w:val="18"/>
                <w:szCs w:val="18"/>
                <w:color w:val="auto"/>
                <w:w w:val="99"/>
              </w:rPr>
              <w:t>Paul G. Driscoll</w:t>
            </w:r>
          </w:p>
        </w:tc>
        <w:tc>
          <w:tcPr>
            <w:tcW w:w="5600" w:type="dxa"/>
            <w:vAlign w:val="bottom"/>
          </w:tcPr>
          <w:p>
            <w:pPr>
              <w:spacing w:after="0"/>
              <w:rPr>
                <w:sz w:val="16"/>
                <w:szCs w:val="16"/>
                <w:color w:val="auto"/>
              </w:rPr>
            </w:pPr>
          </w:p>
        </w:tc>
      </w:tr>
      <w:tr>
        <w:trPr>
          <w:trHeight w:val="216"/>
        </w:trPr>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380" w:type="dxa"/>
            <w:vAlign w:val="bottom"/>
            <w:gridSpan w:val="2"/>
          </w:tcPr>
          <w:p>
            <w:pPr>
              <w:jc w:val="center"/>
              <w:ind w:right="7100"/>
              <w:spacing w:after="0"/>
              <w:rPr>
                <w:sz w:val="20"/>
                <w:szCs w:val="20"/>
                <w:color w:val="auto"/>
              </w:rPr>
            </w:pPr>
            <w:r>
              <w:rPr>
                <w:rFonts w:ascii="Times New Roman" w:cs="Times New Roman" w:eastAsia="Times New Roman" w:hAnsi="Times New Roman"/>
                <w:sz w:val="18"/>
                <w:szCs w:val="18"/>
                <w:color w:val="auto"/>
                <w:w w:val="99"/>
              </w:rPr>
              <w:t>Vice President and</w:t>
            </w:r>
          </w:p>
        </w:tc>
      </w:tr>
      <w:tr>
        <w:trPr>
          <w:trHeight w:val="234"/>
        </w:trPr>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380" w:type="dxa"/>
            <w:vAlign w:val="bottom"/>
            <w:gridSpan w:val="2"/>
          </w:tcPr>
          <w:p>
            <w:pPr>
              <w:jc w:val="center"/>
              <w:ind w:right="710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432"/>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April 28, 2026</w:t>
            </w:r>
          </w:p>
        </w:tc>
        <w:tc>
          <w:tcPr>
            <w:tcW w:w="378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655"/>
        </w:trPr>
        <w:tc>
          <w:tcPr>
            <w:tcW w:w="3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2026-04-28T16:49:11Z</dcterms:created>
  <dcterms:modified xsi:type="dcterms:W3CDTF">2026-04-28T16:49:11Z</dcterms:modified>
</cp:coreProperties>
</file>