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0001361783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53"/>
        <w:gridCol w:w="3752"/>
      </w:tblGrid>
      <w:tr>
        <w:trPr/>
        <w:tc>
          <w:tcPr>
            <w:tcW w:w="6453" w:type="dxa"/>
            <w:tcBorders/>
            <w:vAlign w:val="center"/>
          </w:tcPr>
          <w:p>
            <w:pPr>
              <w:pStyle w:val="TableContents"/>
              <w:bidi w:val="0"/>
              <w:spacing w:before="0" w:after="283"/>
              <w:jc w:val="left"/>
              <w:rPr/>
            </w:pPr>
            <w:r>
              <w:rPr/>
              <w:t>Name of Issuer</w:t>
            </w:r>
          </w:p>
        </w:tc>
        <w:tc>
          <w:tcPr>
            <w:tcW w:w="3752" w:type="dxa"/>
            <w:tcBorders/>
            <w:vAlign w:val="center"/>
          </w:tcPr>
          <w:p>
            <w:pPr>
              <w:pStyle w:val="TableContents"/>
              <w:bidi w:val="0"/>
              <w:spacing w:before="0" w:after="0"/>
              <w:jc w:val="left"/>
              <w:rPr/>
            </w:pPr>
            <w:r>
              <w:rPr/>
              <w:t>Acme United Corp</w:t>
            </w:r>
          </w:p>
        </w:tc>
      </w:tr>
      <w:tr>
        <w:trPr/>
        <w:tc>
          <w:tcPr>
            <w:tcW w:w="6453" w:type="dxa"/>
            <w:tcBorders/>
            <w:vAlign w:val="center"/>
          </w:tcPr>
          <w:p>
            <w:pPr>
              <w:pStyle w:val="TableContents"/>
              <w:bidi w:val="0"/>
              <w:spacing w:before="0" w:after="283"/>
              <w:jc w:val="left"/>
              <w:rPr/>
            </w:pPr>
            <w:r>
              <w:rPr/>
              <w:t>SEC File Number</w:t>
            </w:r>
          </w:p>
        </w:tc>
        <w:tc>
          <w:tcPr>
            <w:tcW w:w="3752" w:type="dxa"/>
            <w:tcBorders/>
            <w:vAlign w:val="center"/>
          </w:tcPr>
          <w:p>
            <w:pPr>
              <w:pStyle w:val="TableContents"/>
              <w:bidi w:val="0"/>
              <w:spacing w:before="0" w:after="0"/>
              <w:jc w:val="left"/>
              <w:rPr/>
            </w:pPr>
            <w:r>
              <w:rPr/>
              <w:t>001-07698</w:t>
            </w:r>
          </w:p>
        </w:tc>
      </w:tr>
      <w:tr>
        <w:trPr/>
        <w:tc>
          <w:tcPr>
            <w:tcW w:w="6453" w:type="dxa"/>
            <w:tcBorders/>
            <w:vAlign w:val="center"/>
          </w:tcPr>
          <w:p>
            <w:pPr>
              <w:pStyle w:val="TableContents"/>
              <w:bidi w:val="0"/>
              <w:spacing w:before="0" w:after="283"/>
              <w:jc w:val="left"/>
              <w:rPr/>
            </w:pPr>
            <w:r>
              <w:rPr/>
              <w:t>Address of Issuer</w:t>
            </w:r>
          </w:p>
        </w:tc>
        <w:tc>
          <w:tcPr>
            <w:tcW w:w="3752" w:type="dxa"/>
            <w:tcBorders/>
            <w:vAlign w:val="center"/>
          </w:tcPr>
          <w:p>
            <w:pPr>
              <w:pStyle w:val="TableContents"/>
              <w:bidi w:val="0"/>
              <w:spacing w:before="0" w:after="0"/>
              <w:jc w:val="left"/>
              <w:rPr/>
            </w:pPr>
            <w:r>
              <w:rPr/>
              <w:t>1 WATERVIEW DRIVE</w:t>
              <w:br/>
              <w:t>SHELTON</w:t>
              <w:br/>
              <w:t xml:space="preserve">CONNECTICUT </w:t>
              <w:br/>
              <w:t>06484</w:t>
            </w:r>
          </w:p>
        </w:tc>
      </w:tr>
      <w:tr>
        <w:trPr/>
        <w:tc>
          <w:tcPr>
            <w:tcW w:w="6453" w:type="dxa"/>
            <w:tcBorders/>
            <w:vAlign w:val="center"/>
          </w:tcPr>
          <w:p>
            <w:pPr>
              <w:pStyle w:val="TableContents"/>
              <w:bidi w:val="0"/>
              <w:spacing w:before="0" w:after="283"/>
              <w:jc w:val="left"/>
              <w:rPr/>
            </w:pPr>
            <w:r>
              <w:rPr/>
              <w:t>Phone</w:t>
            </w:r>
          </w:p>
        </w:tc>
        <w:tc>
          <w:tcPr>
            <w:tcW w:w="3752" w:type="dxa"/>
            <w:tcBorders/>
            <w:vAlign w:val="center"/>
          </w:tcPr>
          <w:p>
            <w:pPr>
              <w:pStyle w:val="TableContents"/>
              <w:bidi w:val="0"/>
              <w:spacing w:before="0" w:after="0"/>
              <w:jc w:val="left"/>
              <w:rPr/>
            </w:pPr>
            <w:r>
              <w:rPr/>
              <w:t>203-254-6060</w:t>
            </w:r>
          </w:p>
        </w:tc>
      </w:tr>
      <w:tr>
        <w:trPr/>
        <w:tc>
          <w:tcPr>
            <w:tcW w:w="6453" w:type="dxa"/>
            <w:tcBorders/>
            <w:vAlign w:val="center"/>
          </w:tcPr>
          <w:p>
            <w:pPr>
              <w:pStyle w:val="TableContents"/>
              <w:bidi w:val="0"/>
              <w:spacing w:before="0" w:after="283"/>
              <w:jc w:val="left"/>
              <w:rPr/>
            </w:pPr>
            <w:r>
              <w:rPr/>
              <w:t>Name of Person for Whose Account the Securities are To Be Sold</w:t>
            </w:r>
          </w:p>
        </w:tc>
        <w:tc>
          <w:tcPr>
            <w:tcW w:w="3752" w:type="dxa"/>
            <w:tcBorders/>
            <w:vAlign w:val="center"/>
          </w:tcPr>
          <w:p>
            <w:pPr>
              <w:pStyle w:val="TableContents"/>
              <w:bidi w:val="0"/>
              <w:spacing w:before="0" w:after="0"/>
              <w:jc w:val="left"/>
              <w:rPr/>
            </w:pPr>
            <w:r>
              <w:rPr/>
              <w:t>Rex Davidson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53" w:type="dxa"/>
            <w:tcBorders/>
            <w:vAlign w:val="center"/>
          </w:tcPr>
          <w:p>
            <w:pPr>
              <w:pStyle w:val="TableContents"/>
              <w:bidi w:val="0"/>
              <w:spacing w:before="0" w:after="283"/>
              <w:jc w:val="left"/>
              <w:rPr/>
            </w:pPr>
            <w:r>
              <w:rPr/>
              <w:t>Relationship to Issuer</w:t>
            </w:r>
          </w:p>
        </w:tc>
        <w:tc>
          <w:tcPr>
            <w:tcW w:w="3752"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8"/>
        <w:gridCol w:w="1702"/>
        <w:gridCol w:w="1151"/>
        <w:gridCol w:w="1358"/>
        <w:gridCol w:w="1536"/>
        <w:gridCol w:w="1558"/>
        <w:gridCol w:w="1362"/>
      </w:tblGrid>
      <w:tr>
        <w:trPr/>
        <w:tc>
          <w:tcPr>
            <w:tcW w:w="1538" w:type="dxa"/>
            <w:tcBorders/>
            <w:vAlign w:val="center"/>
          </w:tcPr>
          <w:p>
            <w:pPr>
              <w:pStyle w:val="TableHeading"/>
              <w:suppressLineNumbers/>
              <w:bidi w:val="0"/>
              <w:spacing w:before="0" w:after="283"/>
              <w:jc w:val="center"/>
              <w:rPr/>
            </w:pPr>
            <w:r>
              <w:rPr/>
              <w:t>Title of the Class of Securities To Be Sold</w:t>
            </w:r>
          </w:p>
        </w:tc>
        <w:tc>
          <w:tcPr>
            <w:tcW w:w="1702" w:type="dxa"/>
            <w:tcBorders/>
            <w:vAlign w:val="center"/>
          </w:tcPr>
          <w:p>
            <w:pPr>
              <w:pStyle w:val="TableHeading"/>
              <w:suppressLineNumbers/>
              <w:bidi w:val="0"/>
              <w:spacing w:before="0" w:after="283"/>
              <w:jc w:val="center"/>
              <w:rPr/>
            </w:pPr>
            <w:r>
              <w:rPr/>
              <w:t>Name and Address of the Broker</w:t>
            </w:r>
          </w:p>
        </w:tc>
        <w:tc>
          <w:tcPr>
            <w:tcW w:w="1151" w:type="dxa"/>
            <w:tcBorders/>
            <w:vAlign w:val="center"/>
          </w:tcPr>
          <w:p>
            <w:pPr>
              <w:pStyle w:val="TableHeading"/>
              <w:suppressLineNumbers/>
              <w:bidi w:val="0"/>
              <w:spacing w:before="0" w:after="283"/>
              <w:jc w:val="center"/>
              <w:rPr/>
            </w:pPr>
            <w:r>
              <w:rPr/>
              <w:t>Number of Shares or Other Units To Be Sold</w:t>
            </w:r>
          </w:p>
        </w:tc>
        <w:tc>
          <w:tcPr>
            <w:tcW w:w="1358" w:type="dxa"/>
            <w:tcBorders/>
            <w:vAlign w:val="center"/>
          </w:tcPr>
          <w:p>
            <w:pPr>
              <w:pStyle w:val="TableHeading"/>
              <w:suppressLineNumbers/>
              <w:bidi w:val="0"/>
              <w:spacing w:before="0" w:after="283"/>
              <w:jc w:val="center"/>
              <w:rPr/>
            </w:pPr>
            <w:r>
              <w:rPr/>
              <w:t>Aggregate Market Value</w:t>
            </w:r>
          </w:p>
        </w:tc>
        <w:tc>
          <w:tcPr>
            <w:tcW w:w="1536" w:type="dxa"/>
            <w:tcBorders/>
            <w:vAlign w:val="center"/>
          </w:tcPr>
          <w:p>
            <w:pPr>
              <w:pStyle w:val="TableHeading"/>
              <w:suppressLineNumbers/>
              <w:bidi w:val="0"/>
              <w:spacing w:before="0" w:after="283"/>
              <w:jc w:val="center"/>
              <w:rPr/>
            </w:pPr>
            <w:r>
              <w:rPr/>
              <w:t>Number of Shares or Other Units Outstanding</w:t>
            </w:r>
          </w:p>
        </w:tc>
        <w:tc>
          <w:tcPr>
            <w:tcW w:w="1558" w:type="dxa"/>
            <w:tcBorders/>
            <w:vAlign w:val="center"/>
          </w:tcPr>
          <w:p>
            <w:pPr>
              <w:pStyle w:val="TableHeading"/>
              <w:suppressLineNumbers/>
              <w:bidi w:val="0"/>
              <w:spacing w:before="0" w:after="283"/>
              <w:jc w:val="center"/>
              <w:rPr/>
            </w:pPr>
            <w:r>
              <w:rPr/>
              <w:t>Approximate Date of Sale</w:t>
            </w:r>
          </w:p>
        </w:tc>
        <w:tc>
          <w:tcPr>
            <w:tcW w:w="1362" w:type="dxa"/>
            <w:tcBorders/>
            <w:vAlign w:val="center"/>
          </w:tcPr>
          <w:p>
            <w:pPr>
              <w:pStyle w:val="TableHeading"/>
              <w:suppressLineNumbers/>
              <w:bidi w:val="0"/>
              <w:spacing w:before="0" w:after="283"/>
              <w:jc w:val="center"/>
              <w:rPr/>
            </w:pPr>
            <w:r>
              <w:rPr/>
              <w:t>Name the Securities Exchange</w:t>
            </w:r>
          </w:p>
        </w:tc>
      </w:tr>
      <w:tr>
        <w:trPr/>
        <w:tc>
          <w:tcPr>
            <w:tcW w:w="1538" w:type="dxa"/>
            <w:tcBorders/>
            <w:vAlign w:val="center"/>
          </w:tcPr>
          <w:p>
            <w:pPr>
              <w:pStyle w:val="TableContents"/>
              <w:bidi w:val="0"/>
              <w:spacing w:before="0" w:after="283"/>
              <w:jc w:val="left"/>
              <w:rPr/>
            </w:pPr>
            <w:r>
              <w:rPr/>
              <w:t>Common</w:t>
            </w:r>
          </w:p>
        </w:tc>
        <w:tc>
          <w:tcPr>
            <w:tcW w:w="1702" w:type="dxa"/>
            <w:tcBorders/>
            <w:vAlign w:val="center"/>
          </w:tcPr>
          <w:p>
            <w:pPr>
              <w:pStyle w:val="TableContents"/>
              <w:bidi w:val="0"/>
              <w:spacing w:before="0" w:after="0"/>
              <w:jc w:val="left"/>
              <w:rPr/>
            </w:pPr>
            <w:r>
              <w:rPr/>
              <w:t>UBS Financial Services Inc</w:t>
              <w:br/>
              <w:t>1000 Harbor Blvd</w:t>
              <w:br/>
              <w:t>3rd Floor</w:t>
              <w:br/>
              <w:t>Weehawken   NJ   07086</w:t>
            </w:r>
          </w:p>
        </w:tc>
        <w:tc>
          <w:tcPr>
            <w:tcW w:w="1151" w:type="dxa"/>
            <w:tcBorders/>
            <w:vAlign w:val="center"/>
          </w:tcPr>
          <w:p>
            <w:pPr>
              <w:pStyle w:val="TableContents"/>
              <w:bidi w:val="0"/>
              <w:spacing w:before="0" w:after="283"/>
              <w:jc w:val="left"/>
              <w:rPr/>
            </w:pPr>
            <w:r>
              <w:rPr/>
              <w:t>3684</w:t>
            </w:r>
          </w:p>
        </w:tc>
        <w:tc>
          <w:tcPr>
            <w:tcW w:w="1358" w:type="dxa"/>
            <w:tcBorders/>
            <w:vAlign w:val="center"/>
          </w:tcPr>
          <w:p>
            <w:pPr>
              <w:pStyle w:val="TableContents"/>
              <w:bidi w:val="0"/>
              <w:spacing w:before="0" w:after="283"/>
              <w:jc w:val="left"/>
              <w:rPr/>
            </w:pPr>
            <w:r>
              <w:rPr/>
              <w:t>207861.09</w:t>
            </w:r>
          </w:p>
        </w:tc>
        <w:tc>
          <w:tcPr>
            <w:tcW w:w="1536" w:type="dxa"/>
            <w:tcBorders/>
            <w:vAlign w:val="center"/>
          </w:tcPr>
          <w:p>
            <w:pPr>
              <w:pStyle w:val="TableContents"/>
              <w:bidi w:val="0"/>
              <w:spacing w:before="0" w:after="283"/>
              <w:jc w:val="left"/>
              <w:rPr/>
            </w:pPr>
            <w:r>
              <w:rPr/>
              <w:t>4464946</w:t>
            </w:r>
          </w:p>
        </w:tc>
        <w:tc>
          <w:tcPr>
            <w:tcW w:w="1558" w:type="dxa"/>
            <w:tcBorders/>
            <w:vAlign w:val="center"/>
          </w:tcPr>
          <w:p>
            <w:pPr>
              <w:pStyle w:val="TableContents"/>
              <w:bidi w:val="0"/>
              <w:spacing w:before="0" w:after="283"/>
              <w:jc w:val="left"/>
              <w:rPr/>
            </w:pPr>
            <w:r>
              <w:rPr/>
              <w:t>08/10/2026</w:t>
            </w:r>
          </w:p>
        </w:tc>
        <w:tc>
          <w:tcPr>
            <w:tcW w:w="1362"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34"/>
        <w:gridCol w:w="1124"/>
        <w:gridCol w:w="1477"/>
        <w:gridCol w:w="1367"/>
        <w:gridCol w:w="526"/>
        <w:gridCol w:w="1124"/>
        <w:gridCol w:w="1184"/>
        <w:gridCol w:w="1065"/>
        <w:gridCol w:w="1204"/>
      </w:tblGrid>
      <w:tr>
        <w:trPr/>
        <w:tc>
          <w:tcPr>
            <w:tcW w:w="1134" w:type="dxa"/>
            <w:tcBorders/>
            <w:vAlign w:val="center"/>
          </w:tcPr>
          <w:p>
            <w:pPr>
              <w:pStyle w:val="TableHeading"/>
              <w:suppressLineNumbers/>
              <w:bidi w:val="0"/>
              <w:spacing w:before="0" w:after="283"/>
              <w:jc w:val="center"/>
              <w:rPr/>
            </w:pPr>
            <w:r>
              <w:rPr/>
              <w:t>Title of the Class</w:t>
            </w:r>
          </w:p>
        </w:tc>
        <w:tc>
          <w:tcPr>
            <w:tcW w:w="1124" w:type="dxa"/>
            <w:tcBorders/>
            <w:vAlign w:val="center"/>
          </w:tcPr>
          <w:p>
            <w:pPr>
              <w:pStyle w:val="TableHeading"/>
              <w:suppressLineNumbers/>
              <w:bidi w:val="0"/>
              <w:spacing w:before="0" w:after="283"/>
              <w:jc w:val="center"/>
              <w:rPr/>
            </w:pPr>
            <w:r>
              <w:rPr/>
              <w:t>Date you Acquired</w:t>
            </w:r>
          </w:p>
        </w:tc>
        <w:tc>
          <w:tcPr>
            <w:tcW w:w="1477" w:type="dxa"/>
            <w:tcBorders/>
            <w:vAlign w:val="center"/>
          </w:tcPr>
          <w:p>
            <w:pPr>
              <w:pStyle w:val="TableHeading"/>
              <w:suppressLineNumbers/>
              <w:bidi w:val="0"/>
              <w:spacing w:before="0" w:after="283"/>
              <w:jc w:val="center"/>
              <w:rPr/>
            </w:pPr>
            <w:r>
              <w:rPr/>
              <w:t>Nature of Acquisition Transaction</w:t>
            </w:r>
          </w:p>
        </w:tc>
        <w:tc>
          <w:tcPr>
            <w:tcW w:w="1367" w:type="dxa"/>
            <w:tcBorders/>
            <w:vAlign w:val="center"/>
          </w:tcPr>
          <w:p>
            <w:pPr>
              <w:pStyle w:val="TableHeading"/>
              <w:suppressLineNumbers/>
              <w:bidi w:val="0"/>
              <w:spacing w:before="0" w:after="283"/>
              <w:jc w:val="center"/>
              <w:rPr/>
            </w:pPr>
            <w:r>
              <w:rPr/>
              <w:t>Name of Person from Whom Acquired</w:t>
            </w:r>
          </w:p>
        </w:tc>
        <w:tc>
          <w:tcPr>
            <w:tcW w:w="526" w:type="dxa"/>
            <w:tcBorders/>
            <w:vAlign w:val="center"/>
          </w:tcPr>
          <w:p>
            <w:pPr>
              <w:pStyle w:val="TableHeading"/>
              <w:suppressLineNumbers/>
              <w:bidi w:val="0"/>
              <w:spacing w:before="0" w:after="283"/>
              <w:jc w:val="center"/>
              <w:rPr/>
            </w:pPr>
            <w:r>
              <w:rPr/>
              <w:t>Is this a Gift?</w:t>
            </w:r>
          </w:p>
        </w:tc>
        <w:tc>
          <w:tcPr>
            <w:tcW w:w="1124" w:type="dxa"/>
            <w:tcBorders/>
            <w:vAlign w:val="center"/>
          </w:tcPr>
          <w:p>
            <w:pPr>
              <w:pStyle w:val="TableHeading"/>
              <w:suppressLineNumbers/>
              <w:bidi w:val="0"/>
              <w:spacing w:before="0" w:after="283"/>
              <w:jc w:val="center"/>
              <w:rPr/>
            </w:pPr>
            <w:r>
              <w:rPr/>
              <w:t>Date Donor Acquired</w:t>
            </w:r>
          </w:p>
        </w:tc>
        <w:tc>
          <w:tcPr>
            <w:tcW w:w="1184" w:type="dxa"/>
            <w:tcBorders/>
            <w:vAlign w:val="center"/>
          </w:tcPr>
          <w:p>
            <w:pPr>
              <w:pStyle w:val="TableHeading"/>
              <w:suppressLineNumbers/>
              <w:bidi w:val="0"/>
              <w:spacing w:before="0" w:after="283"/>
              <w:jc w:val="center"/>
              <w:rPr/>
            </w:pPr>
            <w:r>
              <w:rPr/>
              <w:t>Amount of Securities Acquired</w:t>
            </w:r>
          </w:p>
        </w:tc>
        <w:tc>
          <w:tcPr>
            <w:tcW w:w="1065" w:type="dxa"/>
            <w:tcBorders/>
            <w:vAlign w:val="center"/>
          </w:tcPr>
          <w:p>
            <w:pPr>
              <w:pStyle w:val="TableHeading"/>
              <w:suppressLineNumbers/>
              <w:bidi w:val="0"/>
              <w:spacing w:before="0" w:after="283"/>
              <w:jc w:val="center"/>
              <w:rPr/>
            </w:pPr>
            <w:r>
              <w:rPr/>
              <w:t>Date of Payment</w:t>
            </w:r>
          </w:p>
        </w:tc>
        <w:tc>
          <w:tcPr>
            <w:tcW w:w="1204"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34" w:type="dxa"/>
            <w:tcBorders/>
            <w:vAlign w:val="center"/>
          </w:tcPr>
          <w:p>
            <w:pPr>
              <w:pStyle w:val="TableContents"/>
              <w:bidi w:val="0"/>
              <w:spacing w:before="0" w:after="283"/>
              <w:jc w:val="left"/>
              <w:rPr/>
            </w:pPr>
            <w:r>
              <w:rPr/>
              <w:t>Common Stock</w:t>
            </w:r>
          </w:p>
        </w:tc>
        <w:tc>
          <w:tcPr>
            <w:tcW w:w="1124" w:type="dxa"/>
            <w:tcBorders/>
            <w:vAlign w:val="center"/>
          </w:tcPr>
          <w:p>
            <w:pPr>
              <w:pStyle w:val="TableContents"/>
              <w:bidi w:val="0"/>
              <w:spacing w:before="0" w:after="283"/>
              <w:jc w:val="left"/>
              <w:rPr/>
            </w:pPr>
            <w:r>
              <w:rPr/>
              <w:t>08/05/2026</w:t>
            </w:r>
          </w:p>
        </w:tc>
        <w:tc>
          <w:tcPr>
            <w:tcW w:w="1477" w:type="dxa"/>
            <w:tcBorders/>
            <w:vAlign w:val="center"/>
          </w:tcPr>
          <w:p>
            <w:pPr>
              <w:pStyle w:val="TableContents"/>
              <w:bidi w:val="0"/>
              <w:spacing w:before="0" w:after="283"/>
              <w:jc w:val="left"/>
              <w:rPr/>
            </w:pPr>
            <w:r>
              <w:rPr/>
              <w:t>Stock Grants</w:t>
            </w:r>
          </w:p>
        </w:tc>
        <w:tc>
          <w:tcPr>
            <w:tcW w:w="1367" w:type="dxa"/>
            <w:tcBorders/>
            <w:vAlign w:val="center"/>
          </w:tcPr>
          <w:p>
            <w:pPr>
              <w:pStyle w:val="TableContents"/>
              <w:bidi w:val="0"/>
              <w:spacing w:before="0" w:after="283"/>
              <w:jc w:val="left"/>
              <w:rPr/>
            </w:pPr>
            <w:r>
              <w:rPr/>
              <w:t>Acme United Corporation</w:t>
            </w:r>
          </w:p>
        </w:tc>
        <w:tc>
          <w:tcPr>
            <w:tcW w:w="52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4"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pPr>
            <w:r>
              <w:rPr/>
              <w:t>2456</w:t>
            </w:r>
          </w:p>
        </w:tc>
        <w:tc>
          <w:tcPr>
            <w:tcW w:w="1065" w:type="dxa"/>
            <w:tcBorders/>
            <w:vAlign w:val="center"/>
          </w:tcPr>
          <w:p>
            <w:pPr>
              <w:pStyle w:val="TableContents"/>
              <w:bidi w:val="0"/>
              <w:spacing w:before="0" w:after="283"/>
              <w:jc w:val="left"/>
              <w:rPr/>
            </w:pPr>
            <w:r>
              <w:rPr/>
              <w:t>08/05/2026</w:t>
            </w:r>
          </w:p>
        </w:tc>
        <w:tc>
          <w:tcPr>
            <w:tcW w:w="1204" w:type="dxa"/>
            <w:tcBorders/>
            <w:vAlign w:val="center"/>
          </w:tcPr>
          <w:p>
            <w:pPr>
              <w:pStyle w:val="TableContents"/>
              <w:bidi w:val="0"/>
              <w:spacing w:before="0" w:after="283"/>
              <w:jc w:val="left"/>
              <w:rPr/>
            </w:pPr>
            <w:r>
              <w:rPr/>
              <w:t>N/A</w:t>
            </w:r>
          </w:p>
        </w:tc>
      </w:tr>
      <w:tr>
        <w:trPr/>
        <w:tc>
          <w:tcPr>
            <w:tcW w:w="1134" w:type="dxa"/>
            <w:tcBorders/>
            <w:vAlign w:val="center"/>
          </w:tcPr>
          <w:p>
            <w:pPr>
              <w:pStyle w:val="TableContents"/>
              <w:bidi w:val="0"/>
              <w:spacing w:before="0" w:after="283"/>
              <w:jc w:val="left"/>
              <w:rPr/>
            </w:pPr>
            <w:r>
              <w:rPr/>
              <w:t>Common Stock</w:t>
            </w:r>
          </w:p>
        </w:tc>
        <w:tc>
          <w:tcPr>
            <w:tcW w:w="1124" w:type="dxa"/>
            <w:tcBorders/>
            <w:vAlign w:val="center"/>
          </w:tcPr>
          <w:p>
            <w:pPr>
              <w:pStyle w:val="TableContents"/>
              <w:bidi w:val="0"/>
              <w:spacing w:before="0" w:after="283"/>
              <w:jc w:val="left"/>
              <w:rPr/>
            </w:pPr>
            <w:r>
              <w:rPr/>
              <w:t>08/31/2022</w:t>
            </w:r>
          </w:p>
        </w:tc>
        <w:tc>
          <w:tcPr>
            <w:tcW w:w="1477" w:type="dxa"/>
            <w:tcBorders/>
            <w:vAlign w:val="center"/>
          </w:tcPr>
          <w:p>
            <w:pPr>
              <w:pStyle w:val="TableContents"/>
              <w:bidi w:val="0"/>
              <w:spacing w:before="0" w:after="283"/>
              <w:jc w:val="left"/>
              <w:rPr/>
            </w:pPr>
            <w:r>
              <w:rPr/>
              <w:t>Open Market</w:t>
            </w:r>
          </w:p>
        </w:tc>
        <w:tc>
          <w:tcPr>
            <w:tcW w:w="1367" w:type="dxa"/>
            <w:tcBorders/>
            <w:vAlign w:val="center"/>
          </w:tcPr>
          <w:p>
            <w:pPr>
              <w:pStyle w:val="TableContents"/>
              <w:bidi w:val="0"/>
              <w:spacing w:before="0" w:after="283"/>
              <w:jc w:val="left"/>
              <w:rPr/>
            </w:pPr>
            <w:r>
              <w:rPr/>
              <w:t>Acme United Corporation</w:t>
            </w:r>
          </w:p>
        </w:tc>
        <w:tc>
          <w:tcPr>
            <w:tcW w:w="52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4"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pPr>
            <w:r>
              <w:rPr/>
              <w:t>75</w:t>
            </w:r>
          </w:p>
        </w:tc>
        <w:tc>
          <w:tcPr>
            <w:tcW w:w="1065" w:type="dxa"/>
            <w:tcBorders/>
            <w:vAlign w:val="center"/>
          </w:tcPr>
          <w:p>
            <w:pPr>
              <w:pStyle w:val="TableContents"/>
              <w:bidi w:val="0"/>
              <w:spacing w:before="0" w:after="283"/>
              <w:jc w:val="left"/>
              <w:rPr/>
            </w:pPr>
            <w:r>
              <w:rPr/>
              <w:t>08/31/2022</w:t>
            </w:r>
          </w:p>
        </w:tc>
        <w:tc>
          <w:tcPr>
            <w:tcW w:w="1204" w:type="dxa"/>
            <w:tcBorders/>
            <w:vAlign w:val="center"/>
          </w:tcPr>
          <w:p>
            <w:pPr>
              <w:pStyle w:val="TableContents"/>
              <w:bidi w:val="0"/>
              <w:spacing w:before="0" w:after="283"/>
              <w:jc w:val="left"/>
              <w:rPr/>
            </w:pPr>
            <w:r>
              <w:rPr/>
              <w:t>cash</w:t>
            </w:r>
          </w:p>
        </w:tc>
      </w:tr>
      <w:tr>
        <w:trPr/>
        <w:tc>
          <w:tcPr>
            <w:tcW w:w="1134" w:type="dxa"/>
            <w:tcBorders/>
            <w:vAlign w:val="center"/>
          </w:tcPr>
          <w:p>
            <w:pPr>
              <w:pStyle w:val="TableContents"/>
              <w:bidi w:val="0"/>
              <w:spacing w:before="0" w:after="283"/>
              <w:jc w:val="left"/>
              <w:rPr/>
            </w:pPr>
            <w:r>
              <w:rPr/>
              <w:t>Common Stock</w:t>
            </w:r>
          </w:p>
        </w:tc>
        <w:tc>
          <w:tcPr>
            <w:tcW w:w="1124" w:type="dxa"/>
            <w:tcBorders/>
            <w:vAlign w:val="center"/>
          </w:tcPr>
          <w:p>
            <w:pPr>
              <w:pStyle w:val="TableContents"/>
              <w:bidi w:val="0"/>
              <w:spacing w:before="0" w:after="283"/>
              <w:jc w:val="left"/>
              <w:rPr/>
            </w:pPr>
            <w:r>
              <w:rPr/>
              <w:t>08/24/2022</w:t>
            </w:r>
          </w:p>
        </w:tc>
        <w:tc>
          <w:tcPr>
            <w:tcW w:w="1477" w:type="dxa"/>
            <w:tcBorders/>
            <w:vAlign w:val="center"/>
          </w:tcPr>
          <w:p>
            <w:pPr>
              <w:pStyle w:val="TableContents"/>
              <w:bidi w:val="0"/>
              <w:spacing w:before="0" w:after="283"/>
              <w:jc w:val="left"/>
              <w:rPr/>
            </w:pPr>
            <w:r>
              <w:rPr/>
              <w:t>Open Market</w:t>
            </w:r>
          </w:p>
        </w:tc>
        <w:tc>
          <w:tcPr>
            <w:tcW w:w="1367" w:type="dxa"/>
            <w:tcBorders/>
            <w:vAlign w:val="center"/>
          </w:tcPr>
          <w:p>
            <w:pPr>
              <w:pStyle w:val="TableContents"/>
              <w:bidi w:val="0"/>
              <w:spacing w:before="0" w:after="283"/>
              <w:jc w:val="left"/>
              <w:rPr/>
            </w:pPr>
            <w:r>
              <w:rPr/>
              <w:t>Acme United Corporation</w:t>
            </w:r>
          </w:p>
        </w:tc>
        <w:tc>
          <w:tcPr>
            <w:tcW w:w="52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24"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pPr>
            <w:r>
              <w:rPr/>
              <w:t>178</w:t>
            </w:r>
          </w:p>
        </w:tc>
        <w:tc>
          <w:tcPr>
            <w:tcW w:w="1065" w:type="dxa"/>
            <w:tcBorders/>
            <w:vAlign w:val="center"/>
          </w:tcPr>
          <w:p>
            <w:pPr>
              <w:pStyle w:val="TableContents"/>
              <w:bidi w:val="0"/>
              <w:spacing w:before="0" w:after="283"/>
              <w:jc w:val="left"/>
              <w:rPr/>
            </w:pPr>
            <w:r>
              <w:rPr/>
              <w:t>08/24/2022</w:t>
            </w:r>
          </w:p>
        </w:tc>
        <w:tc>
          <w:tcPr>
            <w:tcW w:w="1204" w:type="dxa"/>
            <w:tcBorders/>
            <w:vAlign w:val="center"/>
          </w:tcPr>
          <w:p>
            <w:pPr>
              <w:pStyle w:val="TableContents"/>
              <w:bidi w:val="0"/>
              <w:spacing w:before="0" w:after="283"/>
              <w:jc w:val="left"/>
              <w:rPr/>
            </w:pPr>
            <w:r>
              <w:rPr/>
              <w:t>cash</w:t>
            </w:r>
          </w:p>
        </w:tc>
      </w:tr>
      <w:tr>
        <w:trPr/>
        <w:tc>
          <w:tcPr>
            <w:tcW w:w="1134" w:type="dxa"/>
            <w:tcBorders/>
            <w:vAlign w:val="center"/>
          </w:tcPr>
          <w:p>
            <w:pPr>
              <w:pStyle w:val="TableContents"/>
              <w:bidi w:val="0"/>
              <w:spacing w:before="0" w:after="283"/>
              <w:jc w:val="left"/>
              <w:rPr/>
            </w:pPr>
            <w:r>
              <w:rPr/>
              <w:t>Common Stock</w:t>
            </w:r>
          </w:p>
        </w:tc>
        <w:tc>
          <w:tcPr>
            <w:tcW w:w="1124" w:type="dxa"/>
            <w:tcBorders/>
            <w:vAlign w:val="center"/>
          </w:tcPr>
          <w:p>
            <w:pPr>
              <w:pStyle w:val="TableContents"/>
              <w:bidi w:val="0"/>
              <w:spacing w:before="0" w:after="283"/>
              <w:jc w:val="left"/>
              <w:rPr/>
            </w:pPr>
            <w:r>
              <w:rPr/>
              <w:t>07/29/2022</w:t>
            </w:r>
          </w:p>
        </w:tc>
        <w:tc>
          <w:tcPr>
            <w:tcW w:w="1477" w:type="dxa"/>
            <w:tcBorders/>
            <w:vAlign w:val="center"/>
          </w:tcPr>
          <w:p>
            <w:pPr>
              <w:pStyle w:val="TableContents"/>
              <w:bidi w:val="0"/>
              <w:spacing w:before="0" w:after="283"/>
              <w:jc w:val="left"/>
              <w:rPr/>
            </w:pPr>
            <w:r>
              <w:rPr/>
              <w:t>Open Market</w:t>
            </w:r>
          </w:p>
        </w:tc>
        <w:tc>
          <w:tcPr>
            <w:tcW w:w="1367" w:type="dxa"/>
            <w:tcBorders/>
            <w:vAlign w:val="center"/>
          </w:tcPr>
          <w:p>
            <w:pPr>
              <w:pStyle w:val="TableContents"/>
              <w:bidi w:val="0"/>
              <w:spacing w:before="0" w:after="283"/>
              <w:jc w:val="left"/>
              <w:rPr/>
            </w:pPr>
            <w:r>
              <w:rPr/>
              <w:t>Acme United Corporation</w:t>
            </w:r>
          </w:p>
        </w:tc>
        <w:tc>
          <w:tcPr>
            <w:tcW w:w="52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24"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pPr>
            <w:r>
              <w:rPr/>
              <w:t>275</w:t>
            </w:r>
          </w:p>
        </w:tc>
        <w:tc>
          <w:tcPr>
            <w:tcW w:w="1065" w:type="dxa"/>
            <w:tcBorders/>
            <w:vAlign w:val="center"/>
          </w:tcPr>
          <w:p>
            <w:pPr>
              <w:pStyle w:val="TableContents"/>
              <w:bidi w:val="0"/>
              <w:spacing w:before="0" w:after="283"/>
              <w:jc w:val="left"/>
              <w:rPr/>
            </w:pPr>
            <w:r>
              <w:rPr/>
              <w:t>07/29/2022</w:t>
            </w:r>
          </w:p>
        </w:tc>
        <w:tc>
          <w:tcPr>
            <w:tcW w:w="1204" w:type="dxa"/>
            <w:tcBorders/>
            <w:vAlign w:val="center"/>
          </w:tcPr>
          <w:p>
            <w:pPr>
              <w:pStyle w:val="TableContents"/>
              <w:bidi w:val="0"/>
              <w:spacing w:before="0" w:after="283"/>
              <w:jc w:val="left"/>
              <w:rPr/>
            </w:pPr>
            <w:r>
              <w:rPr/>
              <w:t>cash</w:t>
            </w:r>
          </w:p>
        </w:tc>
      </w:tr>
      <w:tr>
        <w:trPr/>
        <w:tc>
          <w:tcPr>
            <w:tcW w:w="1134" w:type="dxa"/>
            <w:tcBorders/>
            <w:vAlign w:val="center"/>
          </w:tcPr>
          <w:p>
            <w:pPr>
              <w:pStyle w:val="TableContents"/>
              <w:bidi w:val="0"/>
              <w:spacing w:before="0" w:after="283"/>
              <w:jc w:val="left"/>
              <w:rPr/>
            </w:pPr>
            <w:r>
              <w:rPr/>
              <w:t>Common Stock</w:t>
            </w:r>
          </w:p>
        </w:tc>
        <w:tc>
          <w:tcPr>
            <w:tcW w:w="1124" w:type="dxa"/>
            <w:tcBorders/>
            <w:vAlign w:val="center"/>
          </w:tcPr>
          <w:p>
            <w:pPr>
              <w:pStyle w:val="TableContents"/>
              <w:bidi w:val="0"/>
              <w:spacing w:before="0" w:after="283"/>
              <w:jc w:val="left"/>
              <w:rPr/>
            </w:pPr>
            <w:r>
              <w:rPr/>
              <w:t>07/26/2022</w:t>
            </w:r>
          </w:p>
        </w:tc>
        <w:tc>
          <w:tcPr>
            <w:tcW w:w="1477" w:type="dxa"/>
            <w:tcBorders/>
            <w:vAlign w:val="center"/>
          </w:tcPr>
          <w:p>
            <w:pPr>
              <w:pStyle w:val="TableContents"/>
              <w:bidi w:val="0"/>
              <w:spacing w:before="0" w:after="283"/>
              <w:jc w:val="left"/>
              <w:rPr/>
            </w:pPr>
            <w:r>
              <w:rPr/>
              <w:t>Open Market</w:t>
            </w:r>
          </w:p>
        </w:tc>
        <w:tc>
          <w:tcPr>
            <w:tcW w:w="1367" w:type="dxa"/>
            <w:tcBorders/>
            <w:vAlign w:val="center"/>
          </w:tcPr>
          <w:p>
            <w:pPr>
              <w:pStyle w:val="TableContents"/>
              <w:bidi w:val="0"/>
              <w:spacing w:before="0" w:after="283"/>
              <w:jc w:val="left"/>
              <w:rPr/>
            </w:pPr>
            <w:r>
              <w:rPr/>
              <w:t>Acme United Corporation</w:t>
            </w:r>
          </w:p>
        </w:tc>
        <w:tc>
          <w:tcPr>
            <w:tcW w:w="52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24"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pPr>
            <w:r>
              <w:rPr/>
              <w:t>700</w:t>
            </w:r>
          </w:p>
        </w:tc>
        <w:tc>
          <w:tcPr>
            <w:tcW w:w="1065" w:type="dxa"/>
            <w:tcBorders/>
            <w:vAlign w:val="center"/>
          </w:tcPr>
          <w:p>
            <w:pPr>
              <w:pStyle w:val="TableContents"/>
              <w:bidi w:val="0"/>
              <w:spacing w:before="0" w:after="283"/>
              <w:jc w:val="left"/>
              <w:rPr/>
            </w:pPr>
            <w:r>
              <w:rPr/>
              <w:t>07/26/2022</w:t>
            </w:r>
          </w:p>
        </w:tc>
        <w:tc>
          <w:tcPr>
            <w:tcW w:w="1204"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146"/>
        <w:gridCol w:w="8059"/>
      </w:tblGrid>
      <w:tr>
        <w:trPr/>
        <w:tc>
          <w:tcPr>
            <w:tcW w:w="2146" w:type="dxa"/>
            <w:tcBorders/>
            <w:vAlign w:val="center"/>
          </w:tcPr>
          <w:p>
            <w:pPr>
              <w:pStyle w:val="TableContents"/>
              <w:bidi w:val="0"/>
              <w:spacing w:before="0" w:after="283"/>
              <w:jc w:val="left"/>
              <w:rPr/>
            </w:pPr>
            <w:r>
              <w:rPr/>
              <w:t>Remarks</w:t>
            </w:r>
          </w:p>
        </w:tc>
        <w:tc>
          <w:tcPr>
            <w:tcW w:w="8059" w:type="dxa"/>
            <w:tcBorders/>
            <w:vAlign w:val="center"/>
          </w:tcPr>
          <w:p>
            <w:pPr>
              <w:pStyle w:val="TableContents"/>
              <w:bidi w:val="0"/>
              <w:spacing w:before="0" w:after="283"/>
              <w:jc w:val="left"/>
              <w:rPr>
                <w:sz w:val="4"/>
                <w:szCs w:val="4"/>
              </w:rPr>
            </w:pPr>
            <w:r>
              <w:rPr>
                <w:sz w:val="4"/>
                <w:szCs w:val="4"/>
              </w:rPr>
            </w:r>
          </w:p>
        </w:tc>
      </w:tr>
      <w:tr>
        <w:trPr/>
        <w:tc>
          <w:tcPr>
            <w:tcW w:w="2146" w:type="dxa"/>
            <w:tcBorders/>
            <w:vAlign w:val="center"/>
          </w:tcPr>
          <w:p>
            <w:pPr>
              <w:pStyle w:val="TableContents"/>
              <w:bidi w:val="0"/>
              <w:spacing w:before="0" w:after="283"/>
              <w:jc w:val="left"/>
              <w:rPr/>
            </w:pPr>
            <w:r>
              <w:rPr/>
              <w:t>Date of Notice</w:t>
            </w:r>
          </w:p>
        </w:tc>
        <w:tc>
          <w:tcPr>
            <w:tcW w:w="8059" w:type="dxa"/>
            <w:tcBorders/>
            <w:vAlign w:val="center"/>
          </w:tcPr>
          <w:p>
            <w:pPr>
              <w:pStyle w:val="TableContents"/>
              <w:bidi w:val="0"/>
              <w:spacing w:before="0" w:after="0"/>
              <w:jc w:val="left"/>
              <w:rPr/>
            </w:pPr>
            <w:r>
              <w:rPr/>
              <w:t>08/10/2026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146" w:type="dxa"/>
            <w:tcBorders/>
            <w:vAlign w:val="center"/>
          </w:tcPr>
          <w:p>
            <w:pPr>
              <w:pStyle w:val="TableContents"/>
              <w:bidi w:val="0"/>
              <w:spacing w:before="0" w:after="283"/>
              <w:jc w:val="left"/>
              <w:rPr/>
            </w:pPr>
            <w:r>
              <w:rPr/>
              <w:t>Signature</w:t>
            </w:r>
          </w:p>
        </w:tc>
        <w:tc>
          <w:tcPr>
            <w:tcW w:w="8059" w:type="dxa"/>
            <w:tcBorders/>
            <w:vAlign w:val="center"/>
          </w:tcPr>
          <w:p>
            <w:pPr>
              <w:pStyle w:val="TableContents"/>
              <w:bidi w:val="0"/>
              <w:spacing w:before="0" w:after="0"/>
              <w:jc w:val="left"/>
              <w:rPr/>
            </w:pPr>
            <w:r>
              <w:rPr/>
              <w:t>/s/Mijo Suric, for UBS Financial Services Inc, as attorney-in-fact for Rex Davidson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625</Words>
  <Characters>3207</Characters>
  <CharactersWithSpaces>3750</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