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Acme United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Capital Management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VIRGINIA</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496,192.30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500,967.30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500,967.30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Acme United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 Walls Drive, Suite 201, Fairfield, CT 06824 USA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000"/>
        <w:spacing w:after="0" w:line="256" w:lineRule="auto"/>
        <w:rPr>
          <w:sz w:val="20"/>
          <w:szCs w:val="20"/>
          <w:color w:val="auto"/>
        </w:rPr>
      </w:pPr>
      <w:r>
        <w:rPr>
          <w:rFonts w:ascii="Times New Roman" w:cs="Times New Roman" w:eastAsia="Times New Roman" w:hAnsi="Times New Roman"/>
          <w:sz w:val="22"/>
          <w:szCs w:val="22"/>
          <w:color w:val="auto"/>
        </w:rPr>
        <w:t>Pamela C. Simms, Compliance Officer The Capital Management Corporation Address or principal business office or, if none, residence:</w:t>
      </w:r>
    </w:p>
    <w:p>
      <w:pPr>
        <w:spacing w:after="0" w:line="230"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4101 Cox Road, Suite 110 Glen Allen, VA 23060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Virginia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500,967.30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13.2 %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496,192.30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500,967.30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221"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The Capital Management Corporation</w:t>
      </w:r>
    </w:p>
    <w:p>
      <w:pPr>
        <w:spacing w:after="0" w:line="152"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Pamela Simms</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Compliance Officer</w:t>
      </w:r>
    </w:p>
    <w:p>
      <w:pPr>
        <w:spacing w:after="0" w:line="44"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sectPr>
      <w:pgSz w:w="11900" w:h="16838" w:orient="portrait"/>
      <w:cols w:equalWidth="0" w:num="1">
        <w:col w:w="11140"/>
      </w:cols>
      <w:pgMar w:left="360" w:top="126" w:right="399" w:bottom="22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2026-04-02T14:42:48Z</dcterms:created>
  <dcterms:modified xsi:type="dcterms:W3CDTF">2026-04-02T14:42:48Z</dcterms:modified>
</cp:coreProperties>
</file>