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cu-20261002.htm"/>
      <w:bookmarkStart w:id="1" w:name="ksacu20261002"/>
      <w:bookmarkEnd w:id="0"/>
      <w:bookmarkEnd w:id="1"/>
      <w:r>
        <w:rPr/>
        <w:t> </w:t>
      </w:r>
    </w:p>
    <w:p>
      <w:pPr>
        <w:pStyle w:val="TextBody"/>
        <w:bidi w:val="0"/>
        <w:jc w:val="left"/>
        <w:rPr>
          <w:rFonts w:ascii="Times New Roman" w:hAnsi="Times New Roman"/>
          <w:color w:val="000000"/>
          <w:sz w:val="20"/>
        </w:rPr>
      </w:pPr>
      <w:r>
        <w:rPr>
          <w:rFonts w:ascii="Times New Roman" w:hAnsi="Times New Roman"/>
          <w:color w:val="000000"/>
          <w:sz w:val="20"/>
        </w:rPr>
        <w:t>As filed with the Securities and Exchange Commission on October 2, 2026</w:t>
      </w:r>
    </w:p>
    <w:p>
      <w:pPr>
        <w:pStyle w:val="TextBody"/>
        <w:bidi w:val="0"/>
        <w:jc w:val="right"/>
        <w:rPr>
          <w:rFonts w:ascii="Times New Roman" w:hAnsi="Times New Roman"/>
          <w:color w:val="000000"/>
          <w:sz w:val="20"/>
        </w:rPr>
      </w:pPr>
      <w:r>
        <w:rPr>
          <w:rFonts w:ascii="Times New Roman" w:hAnsi="Times New Roman"/>
          <w:color w:val="000000"/>
          <w:sz w:val="20"/>
        </w:rPr>
        <w:t>Registration No. 333-______</w:t>
      </w:r>
    </w:p>
    <w:p>
      <w:pPr>
        <w:pStyle w:val="TextBody"/>
        <w:bidi w:val="0"/>
        <w:jc w:val="center"/>
        <w:rPr>
          <w:rFonts w:ascii="Times New Roman" w:hAnsi="Times New Roman"/>
          <w:color w:val="000000"/>
          <w:sz w:val="20"/>
        </w:rPr>
      </w:pPr>
      <w:r>
        <w:rPr>
          <w:rFonts w:ascii="Times New Roman" w:hAnsi="Times New Roman"/>
          <w:color w:val="000000"/>
          <w:sz w:val="20"/>
        </w:rPr>
        <w:t>UNITED STATES</w:t>
      </w:r>
    </w:p>
    <w:p>
      <w:pPr>
        <w:pStyle w:val="TextBody"/>
        <w:bidi w:val="0"/>
        <w:jc w:val="center"/>
        <w:rPr>
          <w:rFonts w:ascii="Times New Roman" w:hAnsi="Times New Roman"/>
          <w:color w:val="000000"/>
          <w:sz w:val="20"/>
        </w:rPr>
      </w:pPr>
      <w:r>
        <w:rPr>
          <w:rFonts w:ascii="Times New Roman" w:hAnsi="Times New Roman"/>
          <w:color w:val="000000"/>
          <w:sz w:val="20"/>
        </w:rP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FORM S-8</w:t>
      </w:r>
    </w:p>
    <w:p>
      <w:pPr>
        <w:pStyle w:val="TextBody"/>
        <w:bidi w:val="0"/>
        <w:jc w:val="center"/>
        <w:rPr>
          <w:rFonts w:ascii="Times New Roman" w:hAnsi="Times New Roman"/>
          <w:color w:val="000000"/>
          <w:sz w:val="20"/>
        </w:rPr>
      </w:pPr>
      <w:r>
        <w:rPr>
          <w:rFonts w:ascii="Times New Roman" w:hAnsi="Times New Roman"/>
          <w:color w:val="000000"/>
          <w:sz w:val="20"/>
        </w:rPr>
        <w:t>Registration Statement</w:t>
      </w:r>
    </w:p>
    <w:p>
      <w:pPr>
        <w:pStyle w:val="TextBody"/>
        <w:bidi w:val="0"/>
        <w:jc w:val="center"/>
        <w:rPr>
          <w:rFonts w:ascii="Times New Roman" w:hAnsi="Times New Roman"/>
          <w:color w:val="000000"/>
          <w:sz w:val="20"/>
        </w:rPr>
      </w:pPr>
      <w:r>
        <w:rPr>
          <w:rFonts w:ascii="Times New Roman" w:hAnsi="Times New Roman"/>
          <w:color w:val="000000"/>
          <w:sz w:val="20"/>
        </w:rPr>
        <w:t>Under the Securities Act of 1933</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Acme United Corporation</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4592" w:type="dxa"/>
        <w:jc w:val="left"/>
        <w:tblInd w:w="0" w:type="dxa"/>
        <w:tblLayout w:type="fixed"/>
        <w:tblCellMar>
          <w:top w:w="28" w:type="dxa"/>
          <w:left w:w="28" w:type="dxa"/>
          <w:bottom w:w="28" w:type="dxa"/>
          <w:right w:w="28" w:type="dxa"/>
        </w:tblCellMar>
      </w:tblPr>
      <w:tblGrid>
        <w:gridCol w:w="2581"/>
        <w:gridCol w:w="2011"/>
      </w:tblGrid>
      <w:tr>
        <w:trPr/>
        <w:tc>
          <w:tcPr>
            <w:tcW w:w="258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Connecticut</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06-0236700</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Number)</w:t>
            </w:r>
          </w:p>
        </w:tc>
      </w:tr>
    </w:tbl>
    <w:p>
      <w:pPr>
        <w:pStyle w:val="TextBody"/>
        <w:bidi w:val="0"/>
        <w:jc w:val="center"/>
        <w:rPr>
          <w:rFonts w:ascii="Times New Roman" w:hAnsi="Times New Roman"/>
          <w:color w:val="000000"/>
          <w:sz w:val="20"/>
        </w:rPr>
      </w:pPr>
      <w:r>
        <w:rPr>
          <w:rFonts w:ascii="Times New Roman" w:hAnsi="Times New Roman"/>
          <w:color w:val="000000"/>
          <w:sz w:val="20"/>
        </w:rPr>
        <w:t>1 Waterview Drive</w:t>
      </w:r>
    </w:p>
    <w:p>
      <w:pPr>
        <w:pStyle w:val="TextBody"/>
        <w:bidi w:val="0"/>
        <w:jc w:val="center"/>
        <w:rPr>
          <w:rFonts w:ascii="Times New Roman" w:hAnsi="Times New Roman"/>
          <w:color w:val="000000"/>
          <w:sz w:val="20"/>
        </w:rPr>
      </w:pPr>
      <w:r>
        <w:rPr>
          <w:rFonts w:ascii="Times New Roman" w:hAnsi="Times New Roman"/>
          <w:color w:val="000000"/>
          <w:sz w:val="20"/>
        </w:rPr>
        <w:t>Shelton, Connecticut 06484</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including zip code)</w:t>
      </w:r>
    </w:p>
    <w:p>
      <w:pPr>
        <w:pStyle w:val="TextBody"/>
        <w:bidi w:val="0"/>
        <w:jc w:val="center"/>
        <w:rPr>
          <w:rFonts w:ascii="Times New Roman" w:hAnsi="Times New Roman"/>
          <w:color w:val="000000"/>
          <w:sz w:val="20"/>
        </w:rPr>
      </w:pPr>
      <w:r>
        <w:rPr>
          <w:rFonts w:ascii="Times New Roman" w:hAnsi="Times New Roman"/>
          <w:color w:val="000000"/>
          <w:sz w:val="20"/>
        </w:rPr>
        <w:t>Acme United Corporation 2022 Employee Stock Option Plan</w:t>
      </w:r>
    </w:p>
    <w:p>
      <w:pPr>
        <w:pStyle w:val="TextBody"/>
        <w:bidi w:val="0"/>
        <w:jc w:val="center"/>
        <w:rPr>
          <w:rFonts w:ascii="Times New Roman" w:hAnsi="Times New Roman"/>
          <w:color w:val="000000"/>
          <w:sz w:val="20"/>
        </w:rPr>
      </w:pPr>
      <w:r>
        <w:rPr>
          <w:rFonts w:ascii="Times New Roman" w:hAnsi="Times New Roman"/>
          <w:color w:val="000000"/>
          <w:sz w:val="20"/>
        </w:rPr>
        <w:t>(Full Title of the Plan)</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jc w:val="center"/>
        <w:rPr>
          <w:rFonts w:ascii="Times New Roman" w:hAnsi="Times New Roman"/>
          <w:color w:val="000000"/>
          <w:sz w:val="20"/>
        </w:rPr>
      </w:pPr>
      <w:r>
        <w:rPr>
          <w:rFonts w:ascii="Times New Roman" w:hAnsi="Times New Roman"/>
          <w:color w:val="000000"/>
          <w:sz w:val="20"/>
        </w:rPr>
        <w:t>Paul Driscoll</w:t>
      </w:r>
    </w:p>
    <w:p>
      <w:pPr>
        <w:pStyle w:val="TextBody"/>
        <w:bidi w:val="0"/>
        <w:jc w:val="center"/>
        <w:rPr>
          <w:rFonts w:ascii="Times New Roman" w:hAnsi="Times New Roman"/>
          <w:color w:val="000000"/>
          <w:sz w:val="20"/>
        </w:rPr>
      </w:pPr>
      <w:r>
        <w:rPr>
          <w:rFonts w:ascii="Times New Roman" w:hAnsi="Times New Roman"/>
          <w:color w:val="000000"/>
          <w:sz w:val="20"/>
        </w:rPr>
        <w:t>Vice President, Chief Financial Officer,</w:t>
      </w:r>
    </w:p>
    <w:p>
      <w:pPr>
        <w:pStyle w:val="TextBody"/>
        <w:bidi w:val="0"/>
        <w:jc w:val="center"/>
        <w:rPr>
          <w:rFonts w:ascii="Times New Roman" w:hAnsi="Times New Roman"/>
          <w:color w:val="000000"/>
          <w:sz w:val="20"/>
        </w:rPr>
      </w:pPr>
      <w:r>
        <w:rPr>
          <w:rFonts w:ascii="Times New Roman" w:hAnsi="Times New Roman"/>
          <w:color w:val="000000"/>
          <w:sz w:val="20"/>
        </w:rPr>
        <w:t>Secretary and Treasurer</w:t>
      </w:r>
    </w:p>
    <w:p>
      <w:pPr>
        <w:pStyle w:val="TextBody"/>
        <w:bidi w:val="0"/>
        <w:jc w:val="center"/>
        <w:rPr>
          <w:rFonts w:ascii="Times New Roman" w:hAnsi="Times New Roman"/>
          <w:color w:val="000000"/>
          <w:sz w:val="20"/>
        </w:rPr>
      </w:pPr>
      <w:r>
        <w:rPr>
          <w:rFonts w:ascii="Times New Roman" w:hAnsi="Times New Roman"/>
          <w:color w:val="000000"/>
          <w:sz w:val="20"/>
        </w:rPr>
        <w:t>1 Waterview Drive</w:t>
      </w:r>
    </w:p>
    <w:p>
      <w:pPr>
        <w:pStyle w:val="TextBody"/>
        <w:bidi w:val="0"/>
        <w:jc w:val="center"/>
        <w:rPr>
          <w:rFonts w:ascii="Times New Roman" w:hAnsi="Times New Roman"/>
          <w:color w:val="000000"/>
          <w:sz w:val="20"/>
        </w:rPr>
      </w:pPr>
      <w:r>
        <w:rPr>
          <w:rFonts w:ascii="Times New Roman" w:hAnsi="Times New Roman"/>
          <w:color w:val="000000"/>
          <w:sz w:val="20"/>
        </w:rPr>
        <w:t>Shelton, Connecticut 06484</w:t>
      </w:r>
    </w:p>
    <w:p>
      <w:pPr>
        <w:pStyle w:val="TextBody"/>
        <w:bidi w:val="0"/>
        <w:jc w:val="center"/>
        <w:rPr>
          <w:rFonts w:ascii="Times New Roman" w:hAnsi="Times New Roman"/>
          <w:color w:val="000000"/>
          <w:sz w:val="20"/>
        </w:rPr>
      </w:pPr>
      <w:r>
        <w:rPr>
          <w:rFonts w:ascii="Times New Roman" w:hAnsi="Times New Roman"/>
          <w:color w:val="000000"/>
          <w:sz w:val="20"/>
        </w:rPr>
        <w:t>(Name and address of agent for service)</w:t>
      </w:r>
    </w:p>
    <w:p>
      <w:pPr>
        <w:pStyle w:val="TextBody"/>
        <w:bidi w:val="0"/>
        <w:jc w:val="center"/>
        <w:rPr>
          <w:rFonts w:ascii="Times New Roman" w:hAnsi="Times New Roman"/>
          <w:color w:val="000000"/>
          <w:sz w:val="20"/>
        </w:rPr>
      </w:pPr>
      <w:r>
        <w:rPr>
          <w:rFonts w:ascii="Times New Roman" w:hAnsi="Times New Roman"/>
          <w:color w:val="000000"/>
          <w:sz w:val="20"/>
        </w:rPr>
        <w:t>(203) 254-6060</w:t>
      </w:r>
    </w:p>
    <w:p>
      <w:pPr>
        <w:pStyle w:val="TextBody"/>
        <w:bidi w:val="0"/>
        <w:jc w:val="center"/>
        <w:rPr>
          <w:rFonts w:ascii="Times New Roman" w:hAnsi="Times New Roman"/>
          <w:color w:val="000000"/>
          <w:sz w:val="20"/>
        </w:rPr>
      </w:pPr>
      <w:r>
        <w:rPr>
          <w:rFonts w:ascii="Times New Roman" w:hAnsi="Times New Roman"/>
          <w:color w:val="000000"/>
          <w:sz w:val="20"/>
        </w:rPr>
        <w:t>(Telephone number, including area code, of agent for service)</w:t>
      </w:r>
    </w:p>
    <w:p>
      <w:pPr>
        <w:pStyle w:val="TextBody"/>
        <w:bidi w:val="0"/>
        <w:jc w:val="center"/>
        <w:rPr>
          <w:rFonts w:ascii="Times New Roman" w:hAnsi="Times New Roman"/>
          <w:color w:val="000000"/>
          <w:sz w:val="20"/>
        </w:rPr>
      </w:pPr>
      <w:r>
        <w:rPr>
          <w:rFonts w:ascii="Times New Roman" w:hAnsi="Times New Roman"/>
          <w:color w:val="000000"/>
          <w:sz w:val="20"/>
        </w:rPr>
        <w:t>copy to:</w:t>
      </w:r>
    </w:p>
    <w:p>
      <w:pPr>
        <w:pStyle w:val="TextBody"/>
        <w:bidi w:val="0"/>
        <w:jc w:val="center"/>
        <w:rPr>
          <w:rFonts w:ascii="Times New Roman" w:hAnsi="Times New Roman"/>
          <w:color w:val="000000"/>
          <w:sz w:val="20"/>
        </w:rPr>
      </w:pPr>
      <w:r>
        <w:rPr>
          <w:rFonts w:ascii="Times New Roman" w:hAnsi="Times New Roman"/>
          <w:color w:val="000000"/>
          <w:sz w:val="20"/>
        </w:rPr>
        <w:t>Merritt A. Cole, Esq.</w:t>
      </w:r>
    </w:p>
    <w:p>
      <w:pPr>
        <w:pStyle w:val="TextBody"/>
        <w:bidi w:val="0"/>
        <w:jc w:val="center"/>
        <w:rPr>
          <w:rFonts w:ascii="Times New Roman" w:hAnsi="Times New Roman"/>
          <w:color w:val="000000"/>
          <w:sz w:val="20"/>
        </w:rPr>
      </w:pPr>
      <w:r>
        <w:rPr>
          <w:rFonts w:ascii="Times New Roman" w:hAnsi="Times New Roman"/>
          <w:color w:val="000000"/>
          <w:sz w:val="20"/>
        </w:rPr>
        <w:t>Earp Cohn P.C.</w:t>
      </w:r>
    </w:p>
    <w:p>
      <w:pPr>
        <w:pStyle w:val="TextBody"/>
        <w:bidi w:val="0"/>
        <w:jc w:val="center"/>
        <w:rPr>
          <w:rFonts w:ascii="Times New Roman" w:hAnsi="Times New Roman"/>
          <w:color w:val="000000"/>
          <w:sz w:val="20"/>
        </w:rPr>
      </w:pPr>
      <w:r>
        <w:rPr>
          <w:rFonts w:ascii="Times New Roman" w:hAnsi="Times New Roman"/>
          <w:color w:val="000000"/>
          <w:sz w:val="20"/>
        </w:rPr>
        <w:t>121 South Broad Street, Suite 1720</w:t>
      </w:r>
    </w:p>
    <w:p>
      <w:pPr>
        <w:pStyle w:val="TextBody"/>
        <w:bidi w:val="0"/>
        <w:jc w:val="center"/>
        <w:rPr>
          <w:rFonts w:ascii="Times New Roman" w:hAnsi="Times New Roman"/>
          <w:color w:val="000000"/>
          <w:sz w:val="20"/>
        </w:rPr>
      </w:pPr>
      <w:r>
        <w:rPr>
          <w:rFonts w:ascii="Times New Roman" w:hAnsi="Times New Roman"/>
          <w:color w:val="000000"/>
          <w:sz w:val="20"/>
        </w:rPr>
        <w:t>Philadelphia, Pennsylvania 19107</w:t>
      </w:r>
    </w:p>
    <w:p>
      <w:pPr>
        <w:pStyle w:val="TextBody"/>
        <w:bidi w:val="0"/>
        <w:jc w:val="center"/>
        <w:rPr>
          <w:rFonts w:ascii="Times New Roman" w:hAnsi="Times New Roman"/>
          <w:color w:val="000000"/>
          <w:sz w:val="20"/>
        </w:rPr>
      </w:pPr>
      <w:r>
        <w:rPr>
          <w:rFonts w:ascii="Times New Roman" w:hAnsi="Times New Roman"/>
          <w:color w:val="000000"/>
          <w:sz w:val="20"/>
        </w:rPr>
        <w:t>Phone (215) 963-9520</w:t>
      </w:r>
    </w:p>
    <w:p>
      <w:pPr>
        <w:pStyle w:val="TextBody"/>
        <w:bidi w:val="0"/>
        <w:jc w:val="center"/>
        <w:rPr>
          <w:rFonts w:ascii="Times New Roman" w:hAnsi="Times New Roman"/>
          <w:color w:val="000000"/>
          <w:sz w:val="20"/>
        </w:rPr>
      </w:pPr>
      <w:r>
        <w:rPr>
          <w:rFonts w:ascii="Times New Roman" w:hAnsi="Times New Roman"/>
          <w:color w:val="000000"/>
          <w:sz w:val="20"/>
        </w:rPr>
        <w:t>Fax (215) 963-9620</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pStyle w:val="TextBody"/>
        <w:bidi w:val="0"/>
        <w:jc w:val="left"/>
        <w:rPr/>
      </w:pPr>
      <w:r>
        <w:rPr/>
        <w:t> </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Large accelerated filer [_] Accelerated filer [X] Non-accelerated filer [_] Smaller reporting company [X]</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Emerging growth company [_]</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[_]</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jc w:val="left"/>
        <w:rPr>
          <w:rFonts w:ascii="Times New Roman" w:hAnsi="Times New Roman"/>
          <w:color w:val="000000"/>
          <w:sz w:val="20"/>
        </w:rPr>
      </w:pPr>
      <w:r>
        <w:rPr>
          <w:rFonts w:ascii="Times New Roman" w:hAnsi="Times New Roman"/>
          <w:color w:val="000000"/>
          <w:sz w:val="20"/>
        </w:rPr>
        <w:t>The Company is filing this Registration Statement on Form S-8 for the purpose of registering an additional 200,000 shares of Common Stock, par value $2.50 per share, of the Company (the “Common Stock”), which may be issued pursuant to the Acme United Corporation 2022 Employee Stock Option Plan, as amended (the “Employee Plan”).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Pursuant to Rule 416 under the Securities Act of 1933, as amended (the “Securities Act”), this Registration Statement also covers an indeterminate amount of additional shares of Common Stock, which may become issuable pursuant to the respective anti-dilution or other adjustment provisions of the Employee Plan.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accordance with Instruction E of the General Instruction to Form S-8, the contents of the Registration Statement on Form S-8 (Reg. No. 333-282222) filed on September 19, 2024 by the Company with the U.S. Securities and Exchange Commission (the “Commission”) relating to the Employee Plan are incorporated by reference herein to the extent not otherwise modified or superseded by this Registration Statement.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Part I</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INFORMATION REQUIRED IN THE SECTION 10(a) PROSPECTUS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documents containing the information specified in Part I of Form S-8 will be sent or given to participants as specified by Rule 428(b)(1) promulgated under the Securities Act. Such documents need not be filed with the Commission either as part of this Registration Statement or as prospectuses or prospectus supplements pursuant to Rule 424. These documents and the documents incorporated herein by reference pursuant to Item 3 of Part II of this Registration Statement, taken together, constitute a prospectus that meets the requirements of Section 10(a) of the Securities Act (the "Prospectus").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Part II</w:t>
      </w:r>
    </w:p>
    <w:p>
      <w:pPr>
        <w:pStyle w:val="TextBody"/>
        <w:bidi w:val="0"/>
        <w:jc w:val="left"/>
        <w:rPr>
          <w:rFonts w:ascii="Times New Roman" w:hAnsi="Times New Roman"/>
          <w:color w:val="000000"/>
          <w:sz w:val="20"/>
        </w:rPr>
      </w:pPr>
      <w:r>
        <w:rPr>
          <w:rFonts w:ascii="Times New Roman" w:hAnsi="Times New Roman"/>
          <w:color w:val="000000"/>
          <w:sz w:val="20"/>
        </w:rPr>
        <w:t>INFORMATION REQUIRED IN THE REGISTRATION STATEMENT</w:t>
      </w:r>
    </w:p>
    <w:p>
      <w:pPr>
        <w:pStyle w:val="TextBody"/>
        <w:bidi w:val="0"/>
        <w:jc w:val="left"/>
        <w:rPr>
          <w:rFonts w:ascii="Times New Roman" w:hAnsi="Times New Roman"/>
          <w:color w:val="000000"/>
          <w:sz w:val="20"/>
        </w:rPr>
      </w:pPr>
      <w:r>
        <w:rPr>
          <w:rFonts w:ascii="Times New Roman" w:hAnsi="Times New Roman"/>
          <w:color w:val="000000"/>
          <w:sz w:val="20"/>
        </w:rPr>
        <w:t>Item 3. Incorporation of Documents by Reference.</w:t>
      </w:r>
    </w:p>
    <w:p>
      <w:pPr>
        <w:pStyle w:val="TextBody"/>
        <w:bidi w:val="0"/>
        <w:jc w:val="left"/>
        <w:rPr>
          <w:rFonts w:ascii="Times New Roman" w:hAnsi="Times New Roman"/>
          <w:color w:val="000000"/>
          <w:sz w:val="20"/>
        </w:rPr>
      </w:pPr>
      <w:r>
        <w:rPr>
          <w:rFonts w:ascii="Times New Roman" w:hAnsi="Times New Roman"/>
          <w:color w:val="000000"/>
          <w:sz w:val="20"/>
        </w:rPr>
        <w:t>The following documents previously filed with the Commission are incorporated by reference and made a part of this prospectus:</w:t>
      </w:r>
    </w:p>
    <w:tbl>
      <w:tblPr>
        <w:tblW w:w="10205" w:type="dxa"/>
        <w:jc w:val="left"/>
        <w:tblInd w:w="0" w:type="dxa"/>
        <w:tblLayout w:type="fixed"/>
        <w:tblCellMar>
          <w:top w:w="28" w:type="dxa"/>
          <w:left w:w="28" w:type="dxa"/>
          <w:bottom w:w="28" w:type="dxa"/>
          <w:right w:w="28" w:type="dxa"/>
        </w:tblCellMar>
      </w:tblPr>
      <w:tblGrid>
        <w:gridCol w:w="315"/>
        <w:gridCol w:w="346"/>
        <w:gridCol w:w="9544"/>
      </w:tblGrid>
      <w:tr>
        <w:trPr/>
        <w:tc>
          <w:tcPr>
            <w:tcW w:w="3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544" w:type="dxa"/>
            <w:tcBorders/>
            <w:vAlign w:val="center"/>
          </w:tcPr>
          <w:p>
            <w:pPr>
              <w:pStyle w:val="TableContents"/>
              <w:bidi w:val="0"/>
              <w:spacing w:before="0" w:after="283"/>
              <w:jc w:val="left"/>
              <w:rPr>
                <w:sz w:val="4"/>
                <w:szCs w:val="4"/>
              </w:rPr>
            </w:pPr>
            <w:r>
              <w:rPr>
                <w:sz w:val="4"/>
                <w:szCs w:val="4"/>
              </w:rPr>
            </w:r>
          </w:p>
        </w:tc>
      </w:tr>
      <w:tr>
        <w:trPr/>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90" w:type="dxa"/>
            <w:gridSpan w:val="2"/>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our Annual Report on Form 10-K for the fiscal year ended December 31, 2025, filed on March 11, 2026 (the “Annual Report”);</w:t>
              </w:r>
            </w:hyperlink>
          </w:p>
        </w:tc>
      </w:tr>
      <w:tr>
        <w:trPr/>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w:t>
            </w:r>
          </w:p>
        </w:tc>
        <w:tc>
          <w:tcPr>
            <w:tcW w:w="954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our Quarterly Reports on Form 10-Q for the quarters ended March 31, 2026</w:t>
              </w:r>
            </w:hyperlink>
            <w:r>
              <w:rPr>
                <w:rFonts w:ascii="Times New Roman" w:hAnsi="Times New Roman"/>
                <w:color w:val="000000"/>
                <w:sz w:val="20"/>
              </w:rPr>
              <w:t xml:space="preserve"> and </w:t>
            </w:r>
            <w:hyperlink r:id="rId4">
              <w:r>
                <w:rPr>
                  <w:rStyle w:val="InternetLink"/>
                  <w:rFonts w:ascii="Times New Roman" w:hAnsi="Times New Roman"/>
                  <w:color w:val="0000FF"/>
                  <w:sz w:val="20"/>
                  <w:u w:val="single"/>
                </w:rPr>
                <w:t>June 30, 2026, filed on May 6, 2026, and August 6, 2026,</w:t>
              </w:r>
            </w:hyperlink>
            <w:r>
              <w:rPr>
                <w:rFonts w:ascii="Times New Roman" w:hAnsi="Times New Roman"/>
                <w:color w:val="000000"/>
                <w:sz w:val="20"/>
              </w:rPr>
              <w:t> respectively.</w:t>
            </w:r>
          </w:p>
        </w:tc>
      </w:tr>
      <w:tr>
        <w:trPr/>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(ii)</w:t>
            </w:r>
          </w:p>
        </w:tc>
        <w:tc>
          <w:tcPr>
            <w:tcW w:w="9544"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our Current Reports on Form 8-K filed on </w:t>
            </w:r>
            <w:hyperlink r:id="rId5">
              <w:r>
                <w:rPr>
                  <w:rStyle w:val="InternetLink"/>
                  <w:rFonts w:ascii="Times New Roman" w:hAnsi="Times New Roman"/>
                  <w:color w:val="0000FF"/>
                  <w:sz w:val="20"/>
                  <w:u w:val="single"/>
                </w:rPr>
                <w:t>January 22</w:t>
              </w:r>
            </w:hyperlink>
            <w:r>
              <w:rPr>
                <w:rFonts w:ascii="Times New Roman" w:hAnsi="Times New Roman"/>
                <w:color w:val="000000"/>
                <w:sz w:val="20"/>
              </w:rPr>
              <w:t xml:space="preserve">, </w:t>
            </w:r>
            <w:hyperlink r:id="rId6">
              <w:r>
                <w:rPr>
                  <w:rStyle w:val="InternetLink"/>
                  <w:rFonts w:ascii="Times New Roman" w:hAnsi="Times New Roman"/>
                  <w:color w:val="0000FF"/>
                  <w:sz w:val="20"/>
                  <w:u w:val="single"/>
                </w:rPr>
                <w:t>February 26</w:t>
              </w:r>
            </w:hyperlink>
            <w:r>
              <w:rPr>
                <w:rFonts w:ascii="Times New Roman" w:hAnsi="Times New Roman"/>
                <w:color w:val="000000"/>
                <w:sz w:val="20"/>
              </w:rPr>
              <w:t xml:space="preserve">, </w:t>
            </w:r>
            <w:hyperlink r:id="rId7">
              <w:r>
                <w:rPr>
                  <w:rStyle w:val="InternetLink"/>
                  <w:rFonts w:ascii="Times New Roman" w:hAnsi="Times New Roman"/>
                  <w:color w:val="0000FF"/>
                  <w:sz w:val="20"/>
                  <w:u w:val="single"/>
                </w:rPr>
                <w:t>April 23</w:t>
              </w:r>
            </w:hyperlink>
            <w:r>
              <w:rPr>
                <w:rFonts w:ascii="Times New Roman" w:hAnsi="Times New Roman"/>
                <w:color w:val="000000"/>
                <w:sz w:val="20"/>
              </w:rPr>
              <w:t xml:space="preserve">, </w:t>
            </w:r>
            <w:hyperlink r:id="rId8">
              <w:r>
                <w:rPr>
                  <w:rStyle w:val="InternetLink"/>
                  <w:rFonts w:ascii="Times New Roman" w:hAnsi="Times New Roman"/>
                  <w:color w:val="0000FF"/>
                  <w:sz w:val="20"/>
                  <w:u w:val="single"/>
                </w:rPr>
                <w:t>April 28</w:t>
              </w:r>
            </w:hyperlink>
            <w:r>
              <w:rPr>
                <w:rFonts w:ascii="Times New Roman" w:hAnsi="Times New Roman"/>
                <w:color w:val="000000"/>
                <w:sz w:val="20"/>
              </w:rPr>
              <w:t>,</w:t>
            </w:r>
            <w:hyperlink r:id="rId9">
              <w:r>
                <w:rPr>
                  <w:rStyle w:val="InternetLink"/>
                  <w:rFonts w:ascii="Times New Roman" w:hAnsi="Times New Roman"/>
                  <w:color w:val="0000FF"/>
                  <w:sz w:val="20"/>
                  <w:u w:val="single"/>
                </w:rPr>
                <w:t xml:space="preserve"> July 21</w:t>
              </w:r>
            </w:hyperlink>
            <w:r>
              <w:rPr>
                <w:rFonts w:ascii="Times New Roman" w:hAnsi="Times New Roman"/>
                <w:color w:val="000000"/>
                <w:sz w:val="20"/>
              </w:rPr>
              <w:t xml:space="preserve"> and </w:t>
            </w:r>
            <w:hyperlink r:id="rId10">
              <w:r>
                <w:rPr>
                  <w:rStyle w:val="InternetLink"/>
                  <w:rFonts w:ascii="Times New Roman" w:hAnsi="Times New Roman"/>
                  <w:color w:val="0000FF"/>
                  <w:sz w:val="20"/>
                  <w:u w:val="single"/>
                </w:rPr>
                <w:t>July 23, 2026</w:t>
              </w:r>
            </w:hyperlink>
            <w:r>
              <w:rPr>
                <w:rFonts w:ascii="Times New Roman" w:hAnsi="Times New Roman"/>
                <w:color w:val="000000"/>
                <w:sz w:val="20"/>
              </w:rPr>
              <w:t>, (other than the portions of those documents not deemed to be filed); and</w:t>
            </w:r>
          </w:p>
        </w:tc>
      </w:tr>
      <w:tr>
        <w:trPr/>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description of our Common Stock contained in Exhibit 4(vi) to the Annual Report, including any amendment to that Report that we may file in the future, for the purpose of updating the description of our Common Stock.</w:t>
            </w:r>
          </w:p>
        </w:tc>
      </w:tr>
    </w:tbl>
    <w:p>
      <w:pPr>
        <w:pStyle w:val="TextBody"/>
        <w:bidi w:val="0"/>
        <w:spacing w:before="0" w:after="200"/>
        <w:jc w:val="left"/>
        <w:rPr>
          <w:rFonts w:ascii="Times New Roman" w:hAnsi="Times New Roman"/>
          <w:color w:val="000000"/>
          <w:sz w:val="20"/>
        </w:rPr>
      </w:pPr>
      <w:r>
        <w:rPr>
          <w:rFonts w:ascii="Times New Roman" w:hAnsi="Times New Roman"/>
          <w:color w:val="000000"/>
          <w:sz w:val="20"/>
        </w:rPr>
        <w:t>All documents that we file pursuant to Sections 13(a), 13(c), 14 and 15(d) of the Securities Exchange Act of 1934 (the “Exchange Act”) subsequent to the effective date of this Registration Statement, prior to the filing of a post-effective amendment which indicates that all securities offered by this Prospectus have been sold or which deregisters all securities then remaining unsold, shall be deemed to be incorporated by reference in this Prospectus and to be a part of this Prospectus from the date of filing of such documents. Any statement contained herein or in any document incorporated or deemed to be incorporated by reference shall be deemed to be modified or superseded for purposes of this Registration Statement to the extent that a statement contained in any other subsequently filed document which also is or is deemed to be incorporated by reference modifies or supersedes such statement. Any such statement so modified or superseded shall not be deemed to constitute a part of this Registration Statement, except as so modified or superseded.</w:t>
      </w:r>
    </w:p>
    <w:p>
      <w:pPr>
        <w:pStyle w:val="TextBody"/>
        <w:bidi w:val="0"/>
        <w:jc w:val="left"/>
        <w:rPr>
          <w:rFonts w:ascii="Times New Roman" w:hAnsi="Times New Roman"/>
          <w:color w:val="000000"/>
          <w:sz w:val="20"/>
        </w:rPr>
      </w:pPr>
      <w:r>
        <w:rPr>
          <w:rFonts w:ascii="Times New Roman" w:hAnsi="Times New Roman"/>
          <w:color w:val="000000"/>
          <w:sz w:val="20"/>
        </w:rPr>
        <w:t>Item 4. Description of Securities.</w:t>
      </w:r>
    </w:p>
    <w:p>
      <w:pPr>
        <w:pStyle w:val="TextBody"/>
        <w:bidi w:val="0"/>
        <w:jc w:val="left"/>
        <w:rPr>
          <w:rFonts w:ascii="Times New Roman" w:hAnsi="Times New Roman"/>
          <w:color w:val="000000"/>
          <w:sz w:val="20"/>
        </w:rPr>
      </w:pPr>
      <w:r>
        <w:rPr>
          <w:rFonts w:ascii="Times New Roman" w:hAnsi="Times New Roman"/>
          <w:color w:val="000000"/>
          <w:sz w:val="20"/>
        </w:rPr>
        <w:t>Not applicable, because the Common Stock is registered under Section 12 of the Exchange Act.</w:t>
      </w:r>
    </w:p>
    <w:p>
      <w:pPr>
        <w:pStyle w:val="TextBody"/>
        <w:bidi w:val="0"/>
        <w:jc w:val="left"/>
        <w:rPr>
          <w:rFonts w:ascii="Times New Roman" w:hAnsi="Times New Roman"/>
          <w:color w:val="000000"/>
          <w:sz w:val="20"/>
        </w:rPr>
      </w:pPr>
      <w:r>
        <w:rPr>
          <w:rFonts w:ascii="Times New Roman" w:hAnsi="Times New Roman"/>
          <w:color w:val="000000"/>
          <w:sz w:val="20"/>
        </w:rPr>
        <w:t>Item 5. Interest of Named Experts and Counsel.</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color w:val="000000"/>
          <w:sz w:val="20"/>
        </w:rPr>
      </w:pPr>
      <w:r>
        <w:rPr>
          <w:rFonts w:ascii="Times New Roman" w:hAnsi="Times New Roman"/>
          <w:color w:val="000000"/>
          <w:sz w:val="20"/>
        </w:rPr>
        <w:t>Item 6. Indemnification of Directors and Officers.</w:t>
      </w:r>
    </w:p>
    <w:p>
      <w:pPr>
        <w:pStyle w:val="TextBody"/>
        <w:bidi w:val="0"/>
        <w:jc w:val="left"/>
        <w:rPr>
          <w:rFonts w:ascii="Times New Roman" w:hAnsi="Times New Roman"/>
          <w:color w:val="000000"/>
          <w:sz w:val="20"/>
        </w:rPr>
      </w:pPr>
      <w:r>
        <w:rPr>
          <w:rFonts w:ascii="Times New Roman" w:hAnsi="Times New Roman"/>
          <w:color w:val="000000"/>
          <w:sz w:val="20"/>
        </w:rPr>
        <w:t xml:space="preserve">Connecticut General Statutes ("CGS") Sections 33-770 through 33-779 provide for mandatory, permissive and court-ordered indemnification of directors who are parties to a proceeding. For purposes of these indemnification statutes, 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"proceeding" is defined as any threatened, pending or completed action, suit or proceeding, whether civil, criminal, administrative, arbitrative or investigative and whether formal or informal.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Restated Certificate of Incorporation provides that the Company shall indemnify an individual who is a party to a proceeding because he is a director or officer of the Company against liability in the proceeding if:</w:t>
      </w:r>
    </w:p>
    <w:p>
      <w:pPr>
        <w:pStyle w:val="TextBody"/>
        <w:bidi w:val="0"/>
        <w:jc w:val="left"/>
        <w:rPr>
          <w:rFonts w:ascii="Times New Roman" w:hAnsi="Times New Roman"/>
          <w:color w:val="000000"/>
          <w:sz w:val="20"/>
        </w:rPr>
      </w:pPr>
      <w:r>
        <w:rPr>
          <w:rFonts w:ascii="Times New Roman" w:hAnsi="Times New Roman"/>
          <w:color w:val="000000"/>
          <w:sz w:val="20"/>
        </w:rPr>
        <w:t>(1)(A) he conducted himself in good faith; (B) he reasonably believed (i) in the case of conduct in his official capacity, that his conduct was in the best interests of the Company; and (ii) in all other cases, that his conduct was at least not opposed to the best interests of the Company; and (C) in the case of any criminal proceeding, he had no reasonable cause to believe his conduct was unlawful; or</w:t>
      </w:r>
    </w:p>
    <w:p>
      <w:pPr>
        <w:pStyle w:val="TextBody"/>
        <w:bidi w:val="0"/>
        <w:jc w:val="left"/>
        <w:rPr>
          <w:rFonts w:ascii="Times New Roman" w:hAnsi="Times New Roman"/>
          <w:color w:val="000000"/>
          <w:sz w:val="20"/>
        </w:rPr>
      </w:pPr>
      <w:r>
        <w:rPr>
          <w:rFonts w:ascii="Times New Roman" w:hAnsi="Times New Roman"/>
          <w:color w:val="000000"/>
          <w:sz w:val="20"/>
        </w:rPr>
        <w:t>(2) such liability arises from any action taken, or any failure to take any action, as a director or officer, except liability that (A) involved a knowing and culpable violation of law by the director or officer; (B) enabled the director, officer or an associate (as defined in the CGS) to receive an improper personal gain; (C) showed a lack of good faith and a conscious disregard for the duty of the director or officer to the Company under circumstances in which the director or officer was aware that his conduct or omission created an unjustifiable risk of serious injury to the Company; (D) constituted a sustained and unexcused pattern of inattention that amounted to an abdication of the director's or officer's duty to the Company; or (E) created liability under the CGS for the illegal payment of dividends.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Registrant has obtained directors' and officers' reimbursement and liability insurance against certain liabilities.</w:t>
      </w:r>
    </w:p>
    <w:p>
      <w:pPr>
        <w:pStyle w:val="TextBody"/>
        <w:bidi w:val="0"/>
        <w:jc w:val="left"/>
        <w:rPr>
          <w:rFonts w:ascii="Times New Roman" w:hAnsi="Times New Roman"/>
          <w:color w:val="000000"/>
          <w:sz w:val="20"/>
        </w:rPr>
      </w:pPr>
      <w:r>
        <w:rPr>
          <w:rFonts w:ascii="Times New Roman" w:hAnsi="Times New Roman"/>
          <w:color w:val="000000"/>
          <w:sz w:val="20"/>
        </w:rPr>
        <w:t>Item 7. Exemption from Registration Claimed.</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rFonts w:ascii="Times New Roman" w:hAnsi="Times New Roman"/>
          <w:color w:val="000000"/>
          <w:sz w:val="20"/>
        </w:rPr>
      </w:pPr>
      <w:r>
        <w:rPr>
          <w:rFonts w:ascii="Times New Roman" w:hAnsi="Times New Roman"/>
          <w:color w:val="000000"/>
          <w:sz w:val="20"/>
        </w:rPr>
        <w:t>Item 8. Exhibits.</w:t>
      </w:r>
    </w:p>
    <w:p>
      <w:pPr>
        <w:pStyle w:val="TextBody"/>
        <w:bidi w:val="0"/>
        <w:jc w:val="left"/>
        <w:rPr>
          <w:rFonts w:ascii="Times New Roman" w:hAnsi="Times New Roman"/>
          <w:color w:val="000000"/>
          <w:sz w:val="20"/>
        </w:rPr>
      </w:pPr>
      <w:r>
        <w:rPr>
          <w:rFonts w:ascii="Times New Roman" w:hAnsi="Times New Roman"/>
          <w:color w:val="000000"/>
          <w:sz w:val="20"/>
        </w:rPr>
        <w:t>The following exhibits are filed as part of this Registration Statement:</w:t>
      </w:r>
    </w:p>
    <w:tbl>
      <w:tblPr>
        <w:tblW w:w="9748" w:type="dxa"/>
        <w:jc w:val="left"/>
        <w:tblInd w:w="0" w:type="dxa"/>
        <w:tblLayout w:type="fixed"/>
        <w:tblCellMar>
          <w:top w:w="28" w:type="dxa"/>
          <w:left w:w="28" w:type="dxa"/>
          <w:bottom w:w="28" w:type="dxa"/>
          <w:right w:w="28" w:type="dxa"/>
        </w:tblCellMar>
      </w:tblPr>
      <w:tblGrid>
        <w:gridCol w:w="1066"/>
        <w:gridCol w:w="146"/>
        <w:gridCol w:w="853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Identification of Exhibit</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acu-ex5_1.htm">
              <w:r>
                <w:rPr>
                  <w:rStyle w:val="InternetLink"/>
                  <w:rFonts w:ascii="Times New Roman" w:hAnsi="Times New Roman"/>
                  <w:color w:val="0000FF"/>
                  <w:sz w:val="20"/>
                  <w:u w:val="single"/>
                </w:rPr>
                <w:t>Opinion of Brody Wilkinson PC</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6"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2022 Employee Stock Option Plan, as amended (1)</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6"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Non-Qualified Stock Option Agreement for 2022 Employee Stock Option Plan, as amended (2).</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acu-ex23_1.htm">
              <w:r>
                <w:rPr>
                  <w:rStyle w:val="InternetLink"/>
                  <w:rFonts w:ascii="Times New Roman" w:hAnsi="Times New Roman"/>
                  <w:color w:val="0000FF"/>
                  <w:sz w:val="20"/>
                  <w:u w:val="single"/>
                </w:rPr>
                <w:t>Consent of CBIZ CPAs P.C., independent registered public accounting firm</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acu-ex23_2.htm">
              <w:r>
                <w:rPr>
                  <w:rStyle w:val="InternetLink"/>
                  <w:rFonts w:ascii="Times New Roman" w:hAnsi="Times New Roman"/>
                  <w:color w:val="0000FF"/>
                  <w:sz w:val="20"/>
                  <w:u w:val="single"/>
                </w:rPr>
                <w:t>Consent of Marcum LLP</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acu-ex23_3.htm">
              <w:r>
                <w:rPr>
                  <w:rStyle w:val="InternetLink"/>
                  <w:rFonts w:ascii="Times New Roman" w:hAnsi="Times New Roman"/>
                  <w:color w:val="0000FF"/>
                  <w:sz w:val="20"/>
                  <w:u w:val="single"/>
                </w:rPr>
                <w:t>Consent of Brody Wilkinson PC (included in Exhibit 5.1)</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signature page of this Registration Statement)</w:t>
              </w:r>
            </w:hyperlink>
          </w:p>
        </w:tc>
      </w:tr>
      <w:tr>
        <w:trPr/>
        <w:tc>
          <w:tcPr>
            <w:tcW w:w="106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536" w:type="dxa"/>
            <w:tcBorders/>
            <w:tcMar>
              <w:top w:w="0" w:type="dxa"/>
              <w:left w:w="0" w:type="dxa"/>
              <w:bottom w:w="0" w:type="dxa"/>
              <w:right w:w="0" w:type="dxa"/>
            </w:tcMar>
            <w:vAlign w:val="center"/>
          </w:tcPr>
          <w:p>
            <w:pPr>
              <w:pStyle w:val="TableContents"/>
              <w:bidi w:val="0"/>
              <w:spacing w:before="0" w:after="283"/>
              <w:jc w:val="left"/>
              <w:rPr/>
            </w:pPr>
            <w:hyperlink w:anchor="acu-exfiling_fees.htm">
              <w:r>
                <w:rPr>
                  <w:rStyle w:val="InternetLink"/>
                  <w:rFonts w:ascii="Times New Roman" w:hAnsi="Times New Roman"/>
                  <w:color w:val="0000FF"/>
                  <w:sz w:val="20"/>
                  <w:u w:val="single"/>
                </w:rPr>
                <w:t>Calculation of filing fee table</w:t>
              </w:r>
            </w:hyperlink>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Incorporated by reference to Exhibit 10.12 to the Company’s Form S-8, filed with the Commission on October 11, 2022.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Incorporated by reference to Exhibit 10.13 to the Company’s Form S-8, filed with the Commission on October 11, 2022.</w:t>
      </w:r>
    </w:p>
    <w:p>
      <w:pPr>
        <w:pStyle w:val="TextBody"/>
        <w:bidi w:val="0"/>
        <w:jc w:val="left"/>
        <w:rPr>
          <w:rFonts w:ascii="Times New Roman" w:hAnsi="Times New Roman"/>
          <w:color w:val="000000"/>
          <w:sz w:val="20"/>
        </w:rPr>
      </w:pPr>
      <w:r>
        <w:rPr>
          <w:rFonts w:ascii="Times New Roman" w:hAnsi="Times New Roman"/>
          <w:color w:val="000000"/>
          <w:sz w:val="20"/>
        </w:rPr>
        <w:t>Item 9. Undertakings</w:t>
      </w:r>
    </w:p>
    <w:p>
      <w:pPr>
        <w:pStyle w:val="TextBody"/>
        <w:bidi w:val="0"/>
        <w:jc w:val="left"/>
        <w:rPr>
          <w:rFonts w:ascii="Times New Roman" w:hAnsi="Times New Roman"/>
          <w:color w:val="000000"/>
          <w:sz w:val="20"/>
        </w:rPr>
      </w:pPr>
      <w:r>
        <w:rPr>
          <w:rFonts w:ascii="Times New Roman" w:hAnsi="Times New Roman"/>
          <w:color w:val="000000"/>
          <w:sz w:val="20"/>
        </w:rPr>
        <w:t>The undersigned Registrant hereby undertakes:</w:t>
      </w:r>
    </w:p>
    <w:p>
      <w:pPr>
        <w:pStyle w:val="TextBody"/>
        <w:bidi w:val="0"/>
        <w:jc w:val="left"/>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jc w:val="left"/>
        <w:rPr>
          <w:rFonts w:ascii="Times New Roman" w:hAnsi="Times New Roman"/>
          <w:color w:val="000000"/>
          <w:sz w:val="20"/>
        </w:rPr>
      </w:pPr>
      <w:r>
        <w:rPr>
          <w:rFonts w:ascii="Times New Roman" w:hAnsi="Times New Roman"/>
          <w:color w:val="000000"/>
          <w:sz w:val="20"/>
        </w:rPr>
        <w:t>(a) to include any Prospectus required by Section 10(a)(3) of the Securities Act;</w:t>
      </w:r>
    </w:p>
    <w:p>
      <w:pPr>
        <w:pStyle w:val="TextBody"/>
        <w:bidi w:val="0"/>
        <w:jc w:val="left"/>
        <w:rPr>
          <w:rFonts w:ascii="Times New Roman" w:hAnsi="Times New Roman"/>
          <w:color w:val="000000"/>
          <w:sz w:val="20"/>
        </w:rPr>
      </w:pPr>
      <w:r>
        <w:rPr>
          <w:rFonts w:ascii="Times New Roman" w:hAnsi="Times New Roman"/>
          <w:color w:val="000000"/>
          <w:sz w:val="20"/>
        </w:rPr>
        <w:t xml:space="preserve">(b) to reflect in the Prospectus any facts or events arising after the effective date of this Registration Statement (or the most recent post-effective amendment thereof) which, individually or in the aggregate, represent a fundamental change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pStyle w:val="TextBody"/>
        <w:bidi w:val="0"/>
        <w:jc w:val="left"/>
        <w:rPr>
          <w:rFonts w:ascii="Times New Roman" w:hAnsi="Times New Roman"/>
          <w:color w:val="000000"/>
          <w:sz w:val="20"/>
        </w:rPr>
      </w:pPr>
      <w:r>
        <w:rPr>
          <w:rFonts w:ascii="Times New Roman" w:hAnsi="Times New Roman"/>
          <w:color w:val="000000"/>
          <w:sz w:val="20"/>
        </w:rPr>
        <w:t>(c) To include any material information with respect to the plan of distribution not previously disclosed in this Registration Statement or any material change to such information in this Registration Statement;</w:t>
      </w:r>
    </w:p>
    <w:p>
      <w:pPr>
        <w:pStyle w:val="TextBody"/>
        <w:bidi w:val="0"/>
        <w:jc w:val="left"/>
        <w:rPr>
          <w:rFonts w:ascii="Times New Roman" w:hAnsi="Times New Roman"/>
          <w:color w:val="000000"/>
          <w:sz w:val="20"/>
        </w:rPr>
      </w:pPr>
      <w:r>
        <w:rPr>
          <w:rFonts w:ascii="Times New Roman" w:hAnsi="Times New Roman"/>
          <w:color w:val="000000"/>
          <w:sz w:val="20"/>
        </w:rPr>
        <w:t>provided, however, that paragraphs (1)(a) and (1)(b)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jc w:val="left"/>
        <w:rPr>
          <w:rFonts w:ascii="Times New Roman" w:hAnsi="Times New Roman"/>
          <w:color w:val="000000"/>
          <w:sz w:val="20"/>
        </w:rPr>
      </w:pPr>
      <w:r>
        <w:rPr>
          <w:rFonts w:ascii="Times New Roman" w:hAnsi="Times New Roman"/>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jc w:val="left"/>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jc w:val="left"/>
        <w:rPr>
          <w:rFonts w:ascii="Times New Roman" w:hAnsi="Times New Roman"/>
          <w:color w:val="000000"/>
          <w:sz w:val="20"/>
        </w:rPr>
      </w:pPr>
      <w:r>
        <w:rPr>
          <w:rFonts w:ascii="Times New Roman" w:hAnsi="Times New Roman"/>
          <w:color w:val="000000"/>
          <w:sz w:val="20"/>
        </w:rPr>
        <w:t>(4) That, for the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bookmarkStart w:id="2" w:name="signatures"/>
      <w:bookmarkEnd w:id="2"/>
      <w:r>
        <w:rPr>
          <w:rFonts w:ascii="Times New Roman" w:hAnsi="Times New Roman"/>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Shelton, State of Connecticut, on the 2nd day of October, 2026.</w:t>
      </w:r>
    </w:p>
    <w:tbl>
      <w:tblPr>
        <w:tblW w:w="6396" w:type="dxa"/>
        <w:jc w:val="left"/>
        <w:tblInd w:w="0" w:type="dxa"/>
        <w:tblLayout w:type="fixed"/>
        <w:tblCellMar>
          <w:top w:w="28" w:type="dxa"/>
          <w:left w:w="28" w:type="dxa"/>
          <w:bottom w:w="28" w:type="dxa"/>
          <w:right w:w="28" w:type="dxa"/>
        </w:tblCellMar>
      </w:tblPr>
      <w:tblGrid>
        <w:gridCol w:w="124"/>
        <w:gridCol w:w="406"/>
        <w:gridCol w:w="586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ACME UNITED CORPORATION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86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Walter C. Johnsen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Walter C. Johnsen, Chairman of the Board and Chief Executive Officer</w:t>
            </w:r>
          </w:p>
        </w:tc>
      </w:tr>
    </w:tbl>
    <w:p>
      <w:pPr>
        <w:pStyle w:val="TextBody"/>
        <w:bidi w:val="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Walter C. Johnsen and Paul Driscoll, or either of them, as true and lawful attorneys-in-fact and agents with full power of substitution and re-substitution, for him and in his name, place and stead, in any and all capacities to sign the Registration Statement filed herewith and any or all amendments to said Registration Statement, and to file the same, with all exhibits thereto, and other documents in connection therewith, with the Securities and Exchange Commission, granting unto said attorney-in-fact and agents the full power and authority to do and perform each and every act and thing requisite and necessary to be done in and about the foregoing, as to all intents and purposes as he or she might or could do in person, hereby ratifying and confirming all that said attorney-in-fact and agents or any of them, or his substitute, may lawfully do or cause to be done by virtue hereof.</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Act of 1933, this Registration Statement has been signed by the following persons in the capacities indicated below on the 2nd day of October, 2026:</w:t>
      </w:r>
    </w:p>
    <w:tbl>
      <w:tblPr>
        <w:tblW w:w="7899" w:type="dxa"/>
        <w:jc w:val="left"/>
        <w:tblInd w:w="0" w:type="dxa"/>
        <w:tblLayout w:type="fixed"/>
        <w:tblCellMar>
          <w:top w:w="28" w:type="dxa"/>
          <w:left w:w="28" w:type="dxa"/>
          <w:bottom w:w="28" w:type="dxa"/>
          <w:right w:w="28" w:type="dxa"/>
        </w:tblCellMar>
      </w:tblPr>
      <w:tblGrid>
        <w:gridCol w:w="2356"/>
        <w:gridCol w:w="146"/>
        <w:gridCol w:w="5206"/>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Walter C. Johnsen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Walter C. Johnsen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Chief Executive Officer and Director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Brian S. Olschan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S. Olschan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Operating Officer and Director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Paul Driscoll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Driscoll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Chief Financial Officer, Secretary and Treasurer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Brian K. Barker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K. Barker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Rex L. Davidson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Rex L. Davidson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Richmond Y. Holden,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Richmond Y. Holden,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Susan H. Murphy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Susan H. Murphy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2672" w:type="dxa"/>
        <w:jc w:val="left"/>
        <w:tblInd w:w="0" w:type="dxa"/>
        <w:tblLayout w:type="fixed"/>
        <w:tblCellMar>
          <w:top w:w="28" w:type="dxa"/>
          <w:left w:w="28" w:type="dxa"/>
          <w:bottom w:w="28" w:type="dxa"/>
          <w:right w:w="28" w:type="dxa"/>
        </w:tblCellMar>
      </w:tblPr>
      <w:tblGrid>
        <w:gridCol w:w="1606"/>
        <w:gridCol w:w="146"/>
        <w:gridCol w:w="383"/>
        <w:gridCol w:w="383"/>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Paul J. Conway</w:t>
            </w:r>
          </w:p>
        </w:tc>
        <w:tc>
          <w:tcPr>
            <w:tcW w:w="52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J. Conway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3" w:name="acu-ex5_1.htm"/>
      <w:bookmarkStart w:id="4" w:name="ksacuex5_1"/>
      <w:bookmarkEnd w:id="3"/>
      <w:bookmarkEnd w:id="4"/>
      <w:r>
        <w:rPr>
          <w:rFonts w:ascii="Times New Roman" w:hAnsi="Times New Roman"/>
          <w:color w:val="000000"/>
          <w:sz w:val="20"/>
        </w:rPr>
        <w:t>Exhibit 5.1</w:t>
      </w:r>
      <w:r>
        <w:br w:type="page"/>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October 2,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Board of Directors</w:t>
      </w:r>
    </w:p>
    <w:p>
      <w:pPr>
        <w:pStyle w:val="TextBody"/>
        <w:bidi w:val="0"/>
        <w:jc w:val="both"/>
        <w:rPr>
          <w:rFonts w:ascii="Times New Roman" w:hAnsi="Times New Roman"/>
          <w:color w:val="000000"/>
          <w:sz w:val="20"/>
        </w:rPr>
      </w:pPr>
      <w:r>
        <w:rPr>
          <w:rFonts w:ascii="Times New Roman" w:hAnsi="Times New Roman"/>
          <w:color w:val="000000"/>
          <w:sz w:val="20"/>
        </w:rPr>
        <w:t>Acme United Corporation</w:t>
      </w:r>
    </w:p>
    <w:p>
      <w:pPr>
        <w:pStyle w:val="TextBody"/>
        <w:bidi w:val="0"/>
        <w:jc w:val="both"/>
        <w:rPr>
          <w:rFonts w:ascii="Times New Roman" w:hAnsi="Times New Roman"/>
          <w:color w:val="000000"/>
          <w:sz w:val="20"/>
        </w:rPr>
      </w:pPr>
      <w:r>
        <w:rPr>
          <w:rFonts w:ascii="Times New Roman" w:hAnsi="Times New Roman"/>
          <w:color w:val="000000"/>
          <w:sz w:val="20"/>
        </w:rPr>
        <w:t>1 Waterview Drive</w:t>
      </w:r>
    </w:p>
    <w:p>
      <w:pPr>
        <w:pStyle w:val="TextBody"/>
        <w:bidi w:val="0"/>
        <w:jc w:val="both"/>
        <w:rPr>
          <w:rFonts w:ascii="Times New Roman" w:hAnsi="Times New Roman"/>
          <w:color w:val="000000"/>
          <w:sz w:val="20"/>
        </w:rPr>
      </w:pPr>
      <w:r>
        <w:rPr>
          <w:rFonts w:ascii="Times New Roman" w:hAnsi="Times New Roman"/>
          <w:color w:val="000000"/>
          <w:sz w:val="20"/>
        </w:rPr>
        <w:t>Shelton, CT 06484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Dear Ladies and Gentlemen:</w:t>
      </w:r>
    </w:p>
    <w:p>
      <w:pPr>
        <w:pStyle w:val="TextBody"/>
        <w:bidi w:val="0"/>
        <w:spacing w:before="0" w:after="240"/>
        <w:jc w:val="both"/>
        <w:rPr>
          <w:rFonts w:ascii="Times New Roman" w:hAnsi="Times New Roman"/>
          <w:sz w:val="20"/>
        </w:rPr>
      </w:pPr>
      <w:r>
        <w:rPr>
          <w:rFonts w:ascii="Times New Roman" w:hAnsi="Times New Roman"/>
          <w:color w:val="000000"/>
          <w:sz w:val="20"/>
        </w:rPr>
        <w:t>We have acted as counsel for Acme United Corporation, a Connecticut corporation (the “</w:t>
      </w:r>
      <w:r>
        <w:rPr>
          <w:rFonts w:ascii="Times New Roman" w:hAnsi="Times New Roman"/>
          <w:color w:val="000000"/>
          <w:sz w:val="20"/>
          <w:u w:val="single"/>
        </w:rPr>
        <w:t>Company</w:t>
      </w:r>
      <w:r>
        <w:rPr>
          <w:rFonts w:ascii="Times New Roman" w:hAnsi="Times New Roman"/>
          <w:color w:val="000000"/>
          <w:sz w:val="20"/>
        </w:rPr>
        <w:t>”), and are delivering this opinion in connection with the filing with the Securities and Exchange Commission (the “</w:t>
      </w:r>
      <w:r>
        <w:rPr>
          <w:rFonts w:ascii="Times New Roman" w:hAnsi="Times New Roman"/>
          <w:color w:val="000000"/>
          <w:sz w:val="20"/>
          <w:u w:val="single"/>
        </w:rPr>
        <w:t>Commission</w:t>
      </w:r>
      <w:r>
        <w:rPr>
          <w:rFonts w:ascii="Times New Roman" w:hAnsi="Times New Roman"/>
          <w:color w:val="000000"/>
          <w:sz w:val="20"/>
        </w:rPr>
        <w:t>”) on or about the date hereof of a Form S-8 Registration Statement (the “</w:t>
      </w:r>
      <w:r>
        <w:rPr>
          <w:rFonts w:ascii="Times New Roman" w:hAnsi="Times New Roman"/>
          <w:color w:val="000000"/>
          <w:sz w:val="20"/>
          <w:u w:val="single"/>
        </w:rPr>
        <w:t>Registration Statement</w:t>
      </w:r>
      <w:r>
        <w:rPr>
          <w:rFonts w:ascii="Times New Roman" w:hAnsi="Times New Roman"/>
          <w:color w:val="000000"/>
          <w:sz w:val="20"/>
        </w:rPr>
        <w:t>”) relating to the registration of a total of 200,000 shares (the “</w:t>
      </w:r>
      <w:r>
        <w:rPr>
          <w:rFonts w:ascii="Times New Roman" w:hAnsi="Times New Roman"/>
          <w:color w:val="000000"/>
          <w:sz w:val="20"/>
          <w:u w:val="single"/>
        </w:rPr>
        <w:t>Shares</w:t>
      </w:r>
      <w:r>
        <w:rPr>
          <w:rFonts w:ascii="Times New Roman" w:hAnsi="Times New Roman"/>
          <w:color w:val="000000"/>
          <w:sz w:val="20"/>
        </w:rPr>
        <w:t>”) of common stock of the Company, par value $2.50 per share, issuable upon exercise of options granted or which may be granted pursuant to the Acme United Corporation 2022 Employee Stock Option Plan, as amended (the “</w:t>
      </w:r>
      <w:r>
        <w:rPr>
          <w:rFonts w:ascii="Times New Roman" w:hAnsi="Times New Roman"/>
          <w:color w:val="000000"/>
          <w:sz w:val="20"/>
          <w:u w:val="single"/>
        </w:rPr>
        <w:t>Employee Plan</w:t>
      </w:r>
      <w:r>
        <w:rPr>
          <w:rFonts w:ascii="Times New Roman" w:hAnsi="Times New Roman"/>
          <w:color w:val="000000"/>
          <w:sz w:val="20"/>
        </w:rPr>
        <w:t>”; the “</w:t>
      </w:r>
      <w:r>
        <w:rPr>
          <w:rFonts w:ascii="Times New Roman" w:hAnsi="Times New Roman"/>
          <w:color w:val="000000"/>
          <w:sz w:val="20"/>
          <w:u w:val="single"/>
        </w:rPr>
        <w:t>Plan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rendering the opinion expressed herein, we have examined and relied upon the following: (a) the Registration Statement in the form to be filed with the Commission on the date hereof, (b) a copy of the Plan, (c) the Restated Certificate of Incorporation and the Bylaws of the Company in effect as of the date hereof, (d) the respective approvals of the Board of Directors and of the shareholders of the Company approving the Plan and the filing of the Registration Statement with respect to the Shares, (e) a form of option agreement under the Plan and (f) such other documents as we have deemed necessary or appropriate as a basis for the opinion expressed 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rendering the opinion expressed herein, we have, without any independent inquiry or investigation, assumed that (i) any and all original documents submitted to us for our review are authentic and complete in all respects, (ii) all documents submitted to us as copies conform to authentic, complete originals, (iii) all signatures on all documents are the true and genuine signatures of the person on whose behalf they are purportedly made, (iv) all natural persons who executed documents had the legal capacity so to do, (v) all statements in certificates of public officials and officers of the Company that we reviewed were and are accurate and (vi) all representations made by the Company as to matters of fact in the documents that we reviewed were and are accurate.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upon the foregoing, we are of the opinion that the Shares issuable pursuant to the Plan have been duly authorized and, when and to the extent issued and delivered pursuant to the Plan and the relevant option agreements, including receipt by the Company of the consideration to be paid therefor, will be validly issued, fully paid and non-assessable.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opinion letter is provided to you for your benefit solely with regard to the Registration Statement, may be relied upon by you only in connection with the Registration Statement, and may not be relied upon by any other person or for any other purpose without our prior written consent.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herewith, we express no opinion on the laws of any jurisdiction other than the Connecticut Business Corporation Act and the laws of the State of Connecticut. This opinion is limited to the specific issues addressed herein, and no opinion may be inferred or implied beyond that expressly stated herein. We assume no obligation to revise or supplement this opinion after the date hereof should the Connecticut Business Corporation Act be changed by legislative action, judicial decision or otherwise.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hereby consent to the filing of this opinion as an exhibit to the Registration Statement and to the use of our name in connection with the Registration Statement. In giving this consent, we do not hereby admit that we are in the category of persons whose consent is required under Section 7 of the Securities Act of 1933 or the rules and regulations of the Commission thereunder.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Very truly yours,</w:t>
      </w:r>
    </w:p>
    <w:p>
      <w:pPr>
        <w:pStyle w:val="TextBody"/>
        <w:bidi w:val="0"/>
        <w:jc w:val="left"/>
        <w:rPr>
          <w:rFonts w:ascii="Times New Roman" w:hAnsi="Times New Roman"/>
          <w:color w:val="000000"/>
          <w:sz w:val="20"/>
        </w:rPr>
      </w:pPr>
      <w:r>
        <w:rPr>
          <w:rFonts w:ascii="Times New Roman" w:hAnsi="Times New Roman"/>
          <w:color w:val="000000"/>
          <w:sz w:val="20"/>
        </w:rPr>
        <w:t>/s/ Brody Wilkinson PC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0"/>
        </w:rPr>
      </w:pPr>
      <w:bookmarkStart w:id="5" w:name="acu-ex23_1.htm"/>
      <w:bookmarkStart w:id="6" w:name="ksacuex23_1"/>
      <w:bookmarkEnd w:id="5"/>
      <w:bookmarkEnd w:id="6"/>
      <w:r>
        <w:rPr>
          <w:rFonts w:ascii="Times New Roman" w:hAnsi="Times New Roman"/>
          <w:color w:val="000000"/>
          <w:sz w:val="20"/>
        </w:rPr>
        <w:t>Exhibit 23.1</w:t>
      </w:r>
      <w:r>
        <w:br w:type="page"/>
      </w:r>
    </w:p>
    <w:p>
      <w:pPr>
        <w:pStyle w:val="TextBody"/>
        <w:bidi w:val="0"/>
        <w:jc w:val="center"/>
        <w:rPr>
          <w:rFonts w:ascii="Times New Roman" w:hAnsi="Times New Roman"/>
          <w:sz w:val="20"/>
        </w:rPr>
      </w:pPr>
      <w:r>
        <w:rPr>
          <w:rFonts w:ascii="Times New Roman" w:hAnsi="Times New Roman"/>
          <w:b/>
          <w:color w:val="000000"/>
          <w:sz w:val="20"/>
          <w:u w:val="single"/>
        </w:rPr>
        <w:t>CONSENT OF CBIZ CPAs, INDEPENDENT REGISTERED PUBLIC ACCOUNTING FIRM</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this Registration Statement on Form S-8 of our reports dated March 11, 2026 with respect to the financial statements of Acme United Corporation and the effectiveness of internal control over financial reporting of Acme United Corporation included in the Annual Report on Form 10-K of Acme United Corporation for the year ended December 31, 2025.</w:t>
      </w:r>
    </w:p>
    <w:p>
      <w:pPr>
        <w:pStyle w:val="TextBody"/>
        <w:bidi w:val="0"/>
        <w:jc w:val="left"/>
        <w:rPr>
          <w:rFonts w:ascii="Times New Roman" w:hAnsi="Times New Roman"/>
          <w:color w:val="000000"/>
          <w:sz w:val="20"/>
        </w:rPr>
      </w:pPr>
      <w:r>
        <w:rPr>
          <w:rFonts w:ascii="Times New Roman" w:hAnsi="Times New Roman"/>
          <w:color w:val="000000"/>
          <w:sz w:val="20"/>
        </w:rPr>
        <w:t>/s/ CBIZ CPAs P.C.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Hartford, CT</w:t>
      </w:r>
    </w:p>
    <w:p>
      <w:pPr>
        <w:pStyle w:val="TextBody"/>
        <w:bidi w:val="0"/>
        <w:jc w:val="left"/>
        <w:rPr>
          <w:rFonts w:ascii="Times New Roman" w:hAnsi="Times New Roman"/>
          <w:color w:val="000000"/>
          <w:sz w:val="20"/>
        </w:rPr>
      </w:pPr>
      <w:r>
        <w:rPr>
          <w:rFonts w:ascii="Times New Roman" w:hAnsi="Times New Roman"/>
          <w:color w:val="000000"/>
          <w:sz w:val="20"/>
        </w:rPr>
        <w:t>October 2,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0"/>
        </w:rPr>
      </w:pPr>
      <w:bookmarkStart w:id="7" w:name="acu-ex23_2.htm"/>
      <w:bookmarkStart w:id="8" w:name="ksacuex23_2"/>
      <w:bookmarkEnd w:id="7"/>
      <w:bookmarkEnd w:id="8"/>
      <w:r>
        <w:rPr>
          <w:rFonts w:ascii="Times New Roman" w:hAnsi="Times New Roman"/>
          <w:color w:val="000000"/>
          <w:sz w:val="20"/>
        </w:rPr>
        <w:t>Exhibit 23.2</w:t>
      </w:r>
      <w:r>
        <w:br w:type="page"/>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CONSENT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this Registration Statement on Form S-8 of our reports dated March 6, 2025 with respect to the financial statements of Acme United Corporation and the effectiveness of internal control over financial reporting of Acme United Corporation included in the Annual Report on Form 10-K of Acme United Corporation for the year ended December 31,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MARCUM LLP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Hartford, CT </w:t>
      </w:r>
    </w:p>
    <w:p>
      <w:pPr>
        <w:pStyle w:val="TextBody"/>
        <w:bidi w:val="0"/>
        <w:jc w:val="left"/>
        <w:rPr>
          <w:rFonts w:ascii="Times New Roman" w:hAnsi="Times New Roman"/>
          <w:color w:val="000000"/>
          <w:sz w:val="20"/>
        </w:rPr>
      </w:pPr>
      <w:r>
        <w:rPr>
          <w:rFonts w:ascii="Times New Roman" w:hAnsi="Times New Roman"/>
          <w:color w:val="000000"/>
          <w:sz w:val="20"/>
        </w:rPr>
        <w:t xml:space="preserve">October 2, 2026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color w:val="000000"/>
          <w:sz w:val="20"/>
        </w:rPr>
      </w:pPr>
      <w:bookmarkStart w:id="9" w:name="acu-ex23_3.htm"/>
      <w:bookmarkStart w:id="10" w:name="ksacuex23_3"/>
      <w:bookmarkEnd w:id="9"/>
      <w:bookmarkEnd w:id="10"/>
      <w:r>
        <w:rPr>
          <w:rFonts w:ascii="Times New Roman" w:hAnsi="Times New Roman"/>
          <w:color w:val="000000"/>
          <w:sz w:val="20"/>
        </w:rPr>
        <w:t>Exhibit 23.3</w:t>
      </w:r>
      <w:r>
        <w:br w:type="page"/>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CONSENT OF BRODY WILKINSON PC</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(Included in Exhibit 5.1)</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1" w:name="acu-exfiling_fees.htm"/>
      <w:bookmarkStart w:id="12" w:name="ksacuexfiling_fees"/>
      <w:bookmarkStart w:id="13" w:name="acu-exfiling_fees.htm"/>
      <w:bookmarkStart w:id="14" w:name="ksacuexfiling_fees"/>
      <w:bookmarkEnd w:id="13"/>
      <w:bookmarkEnd w:id="14"/>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ACME UNITED CORP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9"/>
        <w:gridCol w:w="1128"/>
        <w:gridCol w:w="1296"/>
        <w:gridCol w:w="1205"/>
        <w:gridCol w:w="1227"/>
        <w:gridCol w:w="1709"/>
        <w:gridCol w:w="1007"/>
        <w:gridCol w:w="1432"/>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28"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5"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7"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9"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3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9" w:type="dxa"/>
            <w:tcBorders/>
            <w:shd w:fill="E7E7E2" w:val="clear"/>
            <w:vAlign w:val="center"/>
          </w:tcPr>
          <w:p>
            <w:pPr>
              <w:pStyle w:val="TableContents"/>
              <w:bidi w:val="0"/>
              <w:spacing w:before="0" w:after="283"/>
              <w:jc w:val="left"/>
              <w:rPr/>
            </w:pPr>
            <w:r>
              <w:rPr/>
              <w:t xml:space="preserve">Equity </w:t>
            </w:r>
          </w:p>
        </w:tc>
        <w:tc>
          <w:tcPr>
            <w:tcW w:w="1128" w:type="dxa"/>
            <w:tcBorders/>
            <w:shd w:fill="E7E7E2" w:val="clear"/>
            <w:vAlign w:val="center"/>
          </w:tcPr>
          <w:p>
            <w:pPr>
              <w:pStyle w:val="TableContents"/>
              <w:bidi w:val="0"/>
              <w:spacing w:before="0" w:after="283"/>
              <w:jc w:val="left"/>
              <w:rPr/>
            </w:pPr>
            <w:r>
              <w:rPr/>
              <w:t xml:space="preserve">Employee Plan </w:t>
            </w:r>
          </w:p>
        </w:tc>
        <w:tc>
          <w:tcPr>
            <w:tcW w:w="1296" w:type="dxa"/>
            <w:tcBorders/>
            <w:shd w:fill="E7E7E2" w:val="clear"/>
            <w:vAlign w:val="center"/>
          </w:tcPr>
          <w:p>
            <w:pPr>
              <w:pStyle w:val="TableContents"/>
              <w:bidi w:val="0"/>
              <w:spacing w:before="0" w:after="283"/>
              <w:jc w:val="center"/>
              <w:rPr/>
            </w:pPr>
            <w:r>
              <w:rPr/>
              <w:t xml:space="preserve">Other </w:t>
            </w:r>
          </w:p>
        </w:tc>
        <w:tc>
          <w:tcPr>
            <w:tcW w:w="1205" w:type="dxa"/>
            <w:tcBorders/>
            <w:shd w:fill="E7E7E2" w:val="clear"/>
            <w:vAlign w:val="center"/>
          </w:tcPr>
          <w:p>
            <w:pPr>
              <w:pStyle w:val="TableContents"/>
              <w:bidi w:val="0"/>
              <w:spacing w:before="0" w:after="283"/>
              <w:jc w:val="right"/>
              <w:rPr/>
            </w:pPr>
            <w:r>
              <w:rPr/>
              <w:t xml:space="preserve">150,875 </w:t>
            </w:r>
          </w:p>
        </w:tc>
        <w:tc>
          <w:tcPr>
            <w:tcW w:w="1227" w:type="dxa"/>
            <w:tcBorders/>
            <w:shd w:fill="E7E7E2" w:val="clear"/>
            <w:vAlign w:val="center"/>
          </w:tcPr>
          <w:p>
            <w:pPr>
              <w:pStyle w:val="TableContents"/>
              <w:bidi w:val="0"/>
              <w:spacing w:before="0" w:after="283"/>
              <w:jc w:val="right"/>
              <w:rPr/>
            </w:pPr>
            <w:r>
              <w:rPr/>
              <w:t xml:space="preserve">$ 59.90 </w:t>
            </w:r>
          </w:p>
        </w:tc>
        <w:tc>
          <w:tcPr>
            <w:tcW w:w="1709" w:type="dxa"/>
            <w:tcBorders/>
            <w:shd w:fill="E7E7E2" w:val="clear"/>
            <w:vAlign w:val="center"/>
          </w:tcPr>
          <w:p>
            <w:pPr>
              <w:pStyle w:val="TableContents"/>
              <w:bidi w:val="0"/>
              <w:spacing w:before="0" w:after="283"/>
              <w:jc w:val="right"/>
              <w:rPr/>
            </w:pPr>
            <w:r>
              <w:rPr/>
              <w:t xml:space="preserve">$ 9,037,412.50 </w:t>
            </w:r>
          </w:p>
        </w:tc>
        <w:tc>
          <w:tcPr>
            <w:tcW w:w="1007" w:type="dxa"/>
            <w:tcBorders/>
            <w:shd w:fill="E7E7E2" w:val="clear"/>
            <w:vAlign w:val="center"/>
          </w:tcPr>
          <w:p>
            <w:pPr>
              <w:pStyle w:val="TableContents"/>
              <w:bidi w:val="0"/>
              <w:spacing w:before="0" w:after="283"/>
              <w:jc w:val="right"/>
              <w:rPr/>
            </w:pPr>
            <w:r>
              <w:rPr/>
              <w:t xml:space="preserve">0.000087 </w:t>
            </w:r>
          </w:p>
        </w:tc>
        <w:tc>
          <w:tcPr>
            <w:tcW w:w="1432" w:type="dxa"/>
            <w:tcBorders/>
            <w:shd w:fill="E7E7E2" w:val="clear"/>
            <w:vAlign w:val="center"/>
          </w:tcPr>
          <w:p>
            <w:pPr>
              <w:pStyle w:val="TableContents"/>
              <w:bidi w:val="0"/>
              <w:spacing w:before="0" w:after="283"/>
              <w:jc w:val="right"/>
              <w:rPr/>
            </w:pPr>
            <w:r>
              <w:rPr/>
              <w:t xml:space="preserve">$ 786.25 </w:t>
            </w:r>
          </w:p>
        </w:tc>
      </w:tr>
      <w:tr>
        <w:trPr/>
        <w:tc>
          <w:tcPr>
            <w:tcW w:w="242" w:type="dxa"/>
            <w:tcBorders/>
            <w:shd w:fill="E7E7E2" w:val="clear"/>
            <w:vAlign w:val="center"/>
          </w:tcPr>
          <w:p>
            <w:pPr>
              <w:pStyle w:val="TableContents"/>
              <w:bidi w:val="0"/>
              <w:spacing w:before="0" w:after="283"/>
              <w:jc w:val="center"/>
              <w:rPr/>
            </w:pPr>
            <w:r>
              <w:rPr/>
              <w:t xml:space="preserve">2 </w:t>
            </w:r>
          </w:p>
        </w:tc>
        <w:tc>
          <w:tcPr>
            <w:tcW w:w="959" w:type="dxa"/>
            <w:tcBorders/>
            <w:shd w:fill="E7E7E2" w:val="clear"/>
            <w:vAlign w:val="center"/>
          </w:tcPr>
          <w:p>
            <w:pPr>
              <w:pStyle w:val="TableContents"/>
              <w:bidi w:val="0"/>
              <w:spacing w:before="0" w:after="283"/>
              <w:jc w:val="left"/>
              <w:rPr/>
            </w:pPr>
            <w:r>
              <w:rPr/>
              <w:t xml:space="preserve">Equity </w:t>
            </w:r>
          </w:p>
        </w:tc>
        <w:tc>
          <w:tcPr>
            <w:tcW w:w="1128" w:type="dxa"/>
            <w:tcBorders/>
            <w:shd w:fill="E7E7E2" w:val="clear"/>
            <w:vAlign w:val="center"/>
          </w:tcPr>
          <w:p>
            <w:pPr>
              <w:pStyle w:val="TableContents"/>
              <w:bidi w:val="0"/>
              <w:spacing w:before="0" w:after="283"/>
              <w:jc w:val="left"/>
              <w:rPr/>
            </w:pPr>
            <w:r>
              <w:rPr/>
              <w:t xml:space="preserve">Common Stock, par value $2.50 per share </w:t>
            </w:r>
          </w:p>
        </w:tc>
        <w:tc>
          <w:tcPr>
            <w:tcW w:w="1296" w:type="dxa"/>
            <w:tcBorders/>
            <w:shd w:fill="E7E7E2" w:val="clear"/>
            <w:vAlign w:val="center"/>
          </w:tcPr>
          <w:p>
            <w:pPr>
              <w:pStyle w:val="TableContents"/>
              <w:bidi w:val="0"/>
              <w:spacing w:before="0" w:after="283"/>
              <w:jc w:val="center"/>
              <w:rPr/>
            </w:pPr>
            <w:r>
              <w:rPr/>
              <w:t xml:space="preserve">Other </w:t>
            </w:r>
          </w:p>
        </w:tc>
        <w:tc>
          <w:tcPr>
            <w:tcW w:w="1205" w:type="dxa"/>
            <w:tcBorders/>
            <w:shd w:fill="E7E7E2" w:val="clear"/>
            <w:vAlign w:val="center"/>
          </w:tcPr>
          <w:p>
            <w:pPr>
              <w:pStyle w:val="TableContents"/>
              <w:bidi w:val="0"/>
              <w:spacing w:before="0" w:after="283"/>
              <w:jc w:val="right"/>
              <w:rPr/>
            </w:pPr>
            <w:r>
              <w:rPr/>
              <w:t xml:space="preserve">49,125 </w:t>
            </w:r>
          </w:p>
        </w:tc>
        <w:tc>
          <w:tcPr>
            <w:tcW w:w="1227" w:type="dxa"/>
            <w:tcBorders/>
            <w:shd w:fill="E7E7E2" w:val="clear"/>
            <w:vAlign w:val="center"/>
          </w:tcPr>
          <w:p>
            <w:pPr>
              <w:pStyle w:val="TableContents"/>
              <w:bidi w:val="0"/>
              <w:spacing w:before="0" w:after="283"/>
              <w:jc w:val="right"/>
              <w:rPr/>
            </w:pPr>
            <w:r>
              <w:rPr/>
              <w:t xml:space="preserve">$ 62.77 </w:t>
            </w:r>
          </w:p>
        </w:tc>
        <w:tc>
          <w:tcPr>
            <w:tcW w:w="1709" w:type="dxa"/>
            <w:tcBorders/>
            <w:shd w:fill="E7E7E2" w:val="clear"/>
            <w:vAlign w:val="center"/>
          </w:tcPr>
          <w:p>
            <w:pPr>
              <w:pStyle w:val="TableContents"/>
              <w:bidi w:val="0"/>
              <w:spacing w:before="0" w:after="283"/>
              <w:jc w:val="right"/>
              <w:rPr/>
            </w:pPr>
            <w:r>
              <w:rPr/>
              <w:t xml:space="preserve">$ 3,083,576.25 </w:t>
            </w:r>
          </w:p>
        </w:tc>
        <w:tc>
          <w:tcPr>
            <w:tcW w:w="1007" w:type="dxa"/>
            <w:tcBorders/>
            <w:shd w:fill="E7E7E2" w:val="clear"/>
            <w:vAlign w:val="center"/>
          </w:tcPr>
          <w:p>
            <w:pPr>
              <w:pStyle w:val="TableContents"/>
              <w:bidi w:val="0"/>
              <w:spacing w:before="0" w:after="283"/>
              <w:jc w:val="right"/>
              <w:rPr/>
            </w:pPr>
            <w:r>
              <w:rPr/>
              <w:t xml:space="preserve">0.000087 </w:t>
            </w:r>
          </w:p>
        </w:tc>
        <w:tc>
          <w:tcPr>
            <w:tcW w:w="1432" w:type="dxa"/>
            <w:tcBorders/>
            <w:shd w:fill="E7E7E2" w:val="clear"/>
            <w:vAlign w:val="center"/>
          </w:tcPr>
          <w:p>
            <w:pPr>
              <w:pStyle w:val="TableContents"/>
              <w:bidi w:val="0"/>
              <w:spacing w:before="0" w:after="283"/>
              <w:jc w:val="right"/>
              <w:rPr/>
            </w:pPr>
            <w:r>
              <w:rPr/>
              <w:t xml:space="preserve">$ 268.27 </w:t>
            </w:r>
          </w:p>
        </w:tc>
      </w:tr>
      <w:tr>
        <w:trPr/>
        <w:tc>
          <w:tcPr>
            <w:tcW w:w="4830" w:type="dxa"/>
            <w:gridSpan w:val="5"/>
            <w:tcBorders/>
            <w:vAlign w:val="center"/>
          </w:tcPr>
          <w:p>
            <w:pPr>
              <w:pStyle w:val="TableContents"/>
              <w:bidi w:val="0"/>
              <w:spacing w:before="0" w:after="0"/>
              <w:ind w:left="0" w:right="0" w:hanging="0"/>
              <w:jc w:val="right"/>
              <w:rPr/>
            </w:pPr>
            <w:r>
              <w:rPr/>
              <w:t>Total Offering Amounts:</w:t>
            </w:r>
          </w:p>
        </w:tc>
        <w:tc>
          <w:tcPr>
            <w:tcW w:w="122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0"/>
              <w:ind w:left="0" w:right="0" w:hanging="0"/>
              <w:jc w:val="right"/>
              <w:rPr/>
            </w:pPr>
            <w:bookmarkStart w:id="15" w:name="MaxAggtOfferingPrice"/>
            <w:bookmarkEnd w:id="15"/>
            <w:r>
              <w:rPr/>
              <w:t xml:space="preserve">$ 12,120,988.75 </w:t>
            </w:r>
          </w:p>
        </w:tc>
        <w:tc>
          <w:tcPr>
            <w:tcW w:w="1007" w:type="dxa"/>
            <w:tcBorders/>
            <w:vAlign w:val="center"/>
          </w:tcPr>
          <w:p>
            <w:pPr>
              <w:pStyle w:val="TableContents"/>
              <w:bidi w:val="0"/>
              <w:spacing w:before="0" w:after="283"/>
              <w:jc w:val="left"/>
              <w:rPr>
                <w:sz w:val="4"/>
                <w:szCs w:val="4"/>
              </w:rPr>
            </w:pPr>
            <w:r>
              <w:rPr>
                <w:sz w:val="4"/>
                <w:szCs w:val="4"/>
              </w:rPr>
            </w:r>
          </w:p>
        </w:tc>
        <w:tc>
          <w:tcPr>
            <w:tcW w:w="143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6" w:name="TotalFeeAmt"/>
            <w:bookmarkEnd w:id="16"/>
            <w:r>
              <w:rPr/>
              <w:t xml:space="preserve">$ 1,054.52 </w:t>
            </w:r>
          </w:p>
        </w:tc>
      </w:tr>
      <w:tr>
        <w:trPr/>
        <w:tc>
          <w:tcPr>
            <w:tcW w:w="4830" w:type="dxa"/>
            <w:gridSpan w:val="5"/>
            <w:tcBorders/>
            <w:vAlign w:val="center"/>
          </w:tcPr>
          <w:p>
            <w:pPr>
              <w:pStyle w:val="TableContents"/>
              <w:bidi w:val="0"/>
              <w:spacing w:before="0" w:after="0"/>
              <w:ind w:left="0" w:right="0" w:hanging="0"/>
              <w:jc w:val="right"/>
              <w:rPr/>
            </w:pPr>
            <w:r>
              <w:rPr/>
              <w:t xml:space="preserve">Total Fee Offsets: </w:t>
            </w:r>
          </w:p>
        </w:tc>
        <w:tc>
          <w:tcPr>
            <w:tcW w:w="122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0"/>
              <w:ind w:left="0" w:right="0" w:hanging="0"/>
              <w:jc w:val="right"/>
              <w:rPr/>
            </w:pPr>
            <w:bookmarkStart w:id="17" w:name="TotalOffsetAmt"/>
            <w:bookmarkEnd w:id="17"/>
            <w:r>
              <w:rPr/>
              <w:t xml:space="preserve">$ 0.00 </w:t>
            </w:r>
          </w:p>
        </w:tc>
      </w:tr>
      <w:tr>
        <w:trPr/>
        <w:tc>
          <w:tcPr>
            <w:tcW w:w="4830" w:type="dxa"/>
            <w:gridSpan w:val="5"/>
            <w:tcBorders/>
            <w:vAlign w:val="center"/>
          </w:tcPr>
          <w:p>
            <w:pPr>
              <w:pStyle w:val="TableContents"/>
              <w:bidi w:val="0"/>
              <w:spacing w:before="0" w:after="0"/>
              <w:ind w:left="0" w:right="0" w:hanging="0"/>
              <w:jc w:val="right"/>
              <w:rPr/>
            </w:pPr>
            <w:r>
              <w:rPr/>
              <w:t xml:space="preserve">Net Fee Due: </w:t>
            </w:r>
          </w:p>
        </w:tc>
        <w:tc>
          <w:tcPr>
            <w:tcW w:w="122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0"/>
              <w:ind w:left="0" w:right="0" w:hanging="0"/>
              <w:jc w:val="right"/>
              <w:rPr/>
            </w:pPr>
            <w:bookmarkStart w:id="18" w:name="NetFeeAmt"/>
            <w:bookmarkEnd w:id="18"/>
            <w:r>
              <w:rPr/>
              <w:t xml:space="preserve">$ 1,054.52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(1) Pursuant to Rule 416 under the Securities Act of 1933 (the "Securities Act"), this Registration Statement covers, in addition to the number of shares stated herein, an indeterminate amount of additional shares of the Company's common stock, par value $2.50 per share (the "Common Stock"), that may become issuable pursuant to the anti-dilution or other adjustment provisions of the Acme United Corporation 2022 Employee Stock Option Plan (the "Employee Plan"). (2) Determined pursuant to 457(h)(1) under the Securities Act, based upon the exercise price of the options. (4) Consisting of shares of Common Stock issuable upon exercise of options which have been granted under the Employee Plan.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3" w:type="dxa"/>
            <w:gridSpan w:val="2"/>
            <w:tcBorders/>
            <w:vAlign w:val="center"/>
          </w:tcPr>
          <w:p>
            <w:pPr>
              <w:pStyle w:val="TableContents"/>
              <w:bidi w:val="0"/>
              <w:spacing w:before="0" w:after="283"/>
              <w:jc w:val="left"/>
              <w:rPr/>
            </w:pPr>
            <w:r>
              <w:rPr/>
              <w:t xml:space="preserve">(1) Pursuant to Rule 416 under the Securities Act of 1933 (the "Securities Act"), this Registration Statement covers, in addition to the number of shares stated herein, an indeterminate amount of additional shares of the Company's common stock, par value $2.50 per share (the "Common Stock"), that may become issuable pursuant to the anti-dilution or other adjustment provisions of the Acme United Corporation 2022 Employee Stock Option Plan (the "Employee Plan"). (3) Estimated pursuant to Rules 457 (c) and 457 (h)(1) under the Securities Act, solely for the purpose of calculating the registration fee, based upon the average of the high and low prices for shares of the Common Stock reported on the NYSE American on September 25, 2026. (5) Consisting of shares of Common Stock issuable upon exercise of options which may be granted under the Employee Plan.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98/000119312526102079/acu-20251231.htm" TargetMode="External"/><Relationship Id="rId3" Type="http://schemas.openxmlformats.org/officeDocument/2006/relationships/hyperlink" Target="https://www.sec.gov/Archives/edgar/data/2098/000119312526209010/acu-20260331.htm" TargetMode="External"/><Relationship Id="rId4" Type="http://schemas.openxmlformats.org/officeDocument/2006/relationships/hyperlink" Target="https://www.sec.gov/Archives/edgar/data/2098/000119312526338211/acu-20260630.htm" TargetMode="External"/><Relationship Id="rId5" Type="http://schemas.openxmlformats.org/officeDocument/2006/relationships/hyperlink" Target="https://www.sec.gov/Archives/edgar/data/2098/000119312526019610/acu-20260122.htm" TargetMode="External"/><Relationship Id="rId6" Type="http://schemas.openxmlformats.org/officeDocument/2006/relationships/hyperlink" Target="https://www.sec.gov/Archives/edgar/data/2098/000119312526074247/acu-20260226.htm" TargetMode="External"/><Relationship Id="rId7" Type="http://schemas.openxmlformats.org/officeDocument/2006/relationships/hyperlink" Target="https://www.sec.gov/Archives/edgar/data/2098/000119312526172010/acu-20260423.htm" TargetMode="External"/><Relationship Id="rId8" Type="http://schemas.openxmlformats.org/officeDocument/2006/relationships/hyperlink" Target="https://www.sec.gov/Archives/edgar/data/2098/000119312526187237/acu-20260428.htm" TargetMode="External"/><Relationship Id="rId9" Type="http://schemas.openxmlformats.org/officeDocument/2006/relationships/hyperlink" Target="https://www.sec.gov/Archives/edgar/data/2098/000119312526310329/acu-20260721.htm" TargetMode="External"/><Relationship Id="rId10" Type="http://schemas.openxmlformats.org/officeDocument/2006/relationships/hyperlink" Target="https://www.sec.gov/Archives/edgar/data/2098/000119312526313374/acu-20260723.htm" TargetMode="External"/><Relationship Id="rId11" Type="http://schemas.openxmlformats.org/officeDocument/2006/relationships/hyperlink" Target="https://www.sec.gov/Archives/edgar/data/2098/000156459022033825/acu-ex1012_23.htm" TargetMode="External"/><Relationship Id="rId12" Type="http://schemas.openxmlformats.org/officeDocument/2006/relationships/hyperlink" Target="https://www.sec.gov/Archives/edgar/data/2098/000156459022033825/acu-ex1013_40.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3542</Words>
  <Characters>18823</Characters>
  <CharactersWithSpaces>22251</CharactersWithSpaces>
  <Paragraphs>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