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OLSCHAN BRIAN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61,172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60.77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48,480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19.48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206,700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of the subject option was effected on a net share settlement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S. Olschan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44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3277</Characters>
  <CharactersWithSpaces>3791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